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9065A" w14:textId="5E5505DC" w:rsidR="00AB1EEE" w:rsidRPr="004346A9" w:rsidRDefault="00733044" w:rsidP="00AB1EEE">
      <w:pPr>
        <w:jc w:val="center"/>
        <w:rPr>
          <w:rFonts w:ascii="Source Sans Pro" w:hAnsi="Source Sans Pro" w:cs="Times New Roman"/>
          <w:b/>
          <w:bCs/>
        </w:rPr>
      </w:pPr>
      <w:r>
        <w:rPr>
          <w:rFonts w:ascii="Source Sans Pro" w:hAnsi="Source Sans Pro" w:cs="Times New Roman"/>
          <w:b/>
          <w:bCs/>
        </w:rPr>
        <w:t>MH Innov 1’</w:t>
      </w:r>
    </w:p>
    <w:p w14:paraId="22C562E5" w14:textId="77777777" w:rsidR="00AB1EEE" w:rsidRPr="004346A9" w:rsidRDefault="00AB1EEE" w:rsidP="00AB1EEE">
      <w:pPr>
        <w:jc w:val="center"/>
        <w:rPr>
          <w:rFonts w:ascii="Source Sans Pro" w:hAnsi="Source Sans Pro" w:cs="Times New Roman"/>
        </w:rPr>
      </w:pPr>
      <w:r w:rsidRPr="004346A9">
        <w:rPr>
          <w:rFonts w:ascii="Source Sans Pro" w:hAnsi="Source Sans Pro" w:cs="Times New Roman"/>
        </w:rPr>
        <w:t>A Professional Private Equity Investment Fund</w:t>
      </w:r>
    </w:p>
    <w:p w14:paraId="096FA783" w14:textId="77777777" w:rsidR="00AB1EEE" w:rsidRPr="004346A9" w:rsidRDefault="00AB1EEE" w:rsidP="00AB1EEE">
      <w:pPr>
        <w:jc w:val="center"/>
        <w:rPr>
          <w:rFonts w:ascii="Source Sans Pro" w:hAnsi="Source Sans Pro" w:cs="Times New Roman"/>
          <w:lang w:val="fr-FR"/>
        </w:rPr>
      </w:pPr>
      <w:r w:rsidRPr="004346A9">
        <w:rPr>
          <w:rFonts w:ascii="Source Sans Pro" w:hAnsi="Source Sans Pro" w:cs="Times New Roman"/>
          <w:lang w:val="fr-FR"/>
        </w:rPr>
        <w:t>“</w:t>
      </w:r>
      <w:r w:rsidRPr="004346A9">
        <w:rPr>
          <w:rFonts w:ascii="Source Sans Pro" w:hAnsi="Source Sans Pro" w:cs="Times New Roman"/>
          <w:i/>
          <w:lang w:val="fr-FR"/>
        </w:rPr>
        <w:t>Fonds Professionnel de Capital Investissement</w:t>
      </w:r>
      <w:r w:rsidRPr="004346A9">
        <w:rPr>
          <w:rFonts w:ascii="Source Sans Pro" w:hAnsi="Source Sans Pro" w:cs="Times New Roman"/>
          <w:lang w:val="fr-FR"/>
        </w:rPr>
        <w:t>”</w:t>
      </w:r>
    </w:p>
    <w:p w14:paraId="1B7A0889" w14:textId="77777777" w:rsidR="00AB1EEE" w:rsidRPr="004346A9" w:rsidRDefault="00AB1EEE" w:rsidP="00AB1EEE">
      <w:pPr>
        <w:jc w:val="center"/>
        <w:rPr>
          <w:rFonts w:ascii="Source Sans Pro" w:hAnsi="Source Sans Pro" w:cs="Times New Roman"/>
          <w:i/>
        </w:rPr>
      </w:pPr>
      <w:r w:rsidRPr="004346A9">
        <w:rPr>
          <w:rFonts w:ascii="Source Sans Pro" w:hAnsi="Source Sans Pro" w:cs="Times New Roman"/>
          <w:i/>
        </w:rPr>
        <w:t>Articles L.214-159 et seq. of the French Monetary and Financial Code</w:t>
      </w:r>
    </w:p>
    <w:p w14:paraId="33A62F3C" w14:textId="77777777" w:rsidR="00AB1EEE" w:rsidRPr="004346A9" w:rsidRDefault="00AB1EEE" w:rsidP="00AB1EEE">
      <w:pPr>
        <w:rPr>
          <w:rFonts w:ascii="Source Sans Pro" w:hAnsi="Source Sans Pro" w:cs="Times New Roman"/>
        </w:rPr>
      </w:pPr>
    </w:p>
    <w:p w14:paraId="096EE4DF" w14:textId="0DFC7ADC" w:rsidR="00AB1EEE" w:rsidRPr="004346A9" w:rsidRDefault="006B208F" w:rsidP="00AB1EEE">
      <w:pPr>
        <w:rPr>
          <w:rFonts w:ascii="Caviar Dreams" w:hAnsi="Caviar Dreams" w:cs="Times New Roman"/>
          <w:b/>
          <w:bCs/>
        </w:rPr>
      </w:pPr>
      <w:r w:rsidRPr="003A1C01">
        <w:rPr>
          <w:rFonts w:ascii="Calibri" w:eastAsia="Calibri" w:hAnsi="Calibri"/>
          <w:b/>
          <w:noProof/>
        </w:rPr>
        <mc:AlternateContent>
          <mc:Choice Requires="wps">
            <w:drawing>
              <wp:anchor distT="0" distB="0" distL="114300" distR="114300" simplePos="0" relativeHeight="251675648" behindDoc="0" locked="0" layoutInCell="1" allowOverlap="1" wp14:anchorId="04B1147C" wp14:editId="1F0F8182">
                <wp:simplePos x="0" y="0"/>
                <wp:positionH relativeFrom="page">
                  <wp:posOffset>47625</wp:posOffset>
                </wp:positionH>
                <wp:positionV relativeFrom="margin">
                  <wp:posOffset>1059180</wp:posOffset>
                </wp:positionV>
                <wp:extent cx="1074420" cy="2494280"/>
                <wp:effectExtent l="0" t="0" r="5080" b="0"/>
                <wp:wrapSquare wrapText="bothSides"/>
                <wp:docPr id="221" name="Rectangle 221"/>
                <wp:cNvGraphicFramePr/>
                <a:graphic xmlns:a="http://schemas.openxmlformats.org/drawingml/2006/main">
                  <a:graphicData uri="http://schemas.microsoft.com/office/word/2010/wordprocessingShape">
                    <wps:wsp>
                      <wps:cNvSpPr/>
                      <wps:spPr>
                        <a:xfrm>
                          <a:off x="0" y="0"/>
                          <a:ext cx="1074420" cy="2494280"/>
                        </a:xfrm>
                        <a:prstGeom prst="rect">
                          <a:avLst/>
                        </a:prstGeom>
                        <a:solidFill>
                          <a:sysClr val="window" lastClr="FFFFFF">
                            <a:lumMod val="95000"/>
                          </a:sysClr>
                        </a:solidFill>
                        <a:ln w="12700" cap="flat" cmpd="sng" algn="ctr">
                          <a:noFill/>
                          <a:prstDash val="solid"/>
                          <a:miter lim="800000"/>
                        </a:ln>
                        <a:effectLst/>
                      </wps:spPr>
                      <wps:txbx>
                        <w:txbxContent>
                          <w:p w14:paraId="6A2BA15E" w14:textId="77777777" w:rsidR="006B208F" w:rsidRPr="00A21C2F" w:rsidRDefault="006B208F" w:rsidP="00D21FBB">
                            <w:pPr>
                              <w:ind w:left="-142" w:right="-268"/>
                              <w:jc w:val="left"/>
                              <w:rPr>
                                <w:rFonts w:cs="Calibri"/>
                                <w:bCs/>
                                <w:color w:val="000000"/>
                                <w:sz w:val="18"/>
                                <w:szCs w:val="21"/>
                              </w:rPr>
                            </w:pPr>
                            <w:r w:rsidRPr="00A21C2F">
                              <w:rPr>
                                <w:rFonts w:ascii="Calibri" w:eastAsia="Calibri" w:hAnsi="Calibri" w:cs="Calibri"/>
                                <w:b/>
                                <w:bCs/>
                                <w:sz w:val="18"/>
                                <w:szCs w:val="21"/>
                              </w:rPr>
                              <w:t xml:space="preserve">Sustainable investment </w:t>
                            </w:r>
                            <w:r w:rsidRPr="00A21C2F">
                              <w:rPr>
                                <w:rFonts w:ascii="Calibri" w:eastAsia="Calibri" w:hAnsi="Calibri" w:cs="Calibri"/>
                                <w:sz w:val="18"/>
                                <w:szCs w:val="21"/>
                              </w:rPr>
                              <w:t>means an investment in an economic activity that contributes to an environmental or social objective, provided that the investment does not significantly harm any environmental or social objective and that the investee companies follow good governance practices.</w:t>
                            </w:r>
                          </w:p>
                          <w:p w14:paraId="26DA7754" w14:textId="77777777" w:rsidR="006B208F" w:rsidRPr="00A21C2F" w:rsidRDefault="006B208F" w:rsidP="00D21FBB">
                            <w:pPr>
                              <w:jc w:val="left"/>
                              <w:rPr>
                                <w:rFonts w:cs="Calibri"/>
                                <w:bCs/>
                                <w:color w:val="000000"/>
                                <w:sz w:val="18"/>
                                <w:szCs w:val="21"/>
                              </w:rPr>
                            </w:pPr>
                          </w:p>
                          <w:p w14:paraId="2620A5BD" w14:textId="77777777" w:rsidR="006B208F" w:rsidRPr="00A21C2F" w:rsidRDefault="006B208F" w:rsidP="00D21FBB">
                            <w:pPr>
                              <w:jc w:val="left"/>
                              <w:rPr>
                                <w:rFonts w:cs="Calibri"/>
                                <w:bCs/>
                                <w:color w:val="000000"/>
                                <w:sz w:val="18"/>
                                <w:szCs w:val="21"/>
                              </w:rPr>
                            </w:pPr>
                          </w:p>
                          <w:p w14:paraId="4D82FD6E" w14:textId="77777777" w:rsidR="006B208F" w:rsidRPr="00A21C2F" w:rsidRDefault="006B208F" w:rsidP="00D21FBB">
                            <w:pPr>
                              <w:jc w:val="left"/>
                              <w:rPr>
                                <w:rFonts w:cs="Calibri"/>
                                <w:bCs/>
                                <w:color w:val="000000"/>
                                <w:sz w:val="18"/>
                                <w:szCs w:val="21"/>
                              </w:rPr>
                            </w:pPr>
                          </w:p>
                          <w:p w14:paraId="35414086" w14:textId="77777777" w:rsidR="006B208F" w:rsidRPr="00A21C2F" w:rsidRDefault="006B208F" w:rsidP="00D21FBB">
                            <w:pPr>
                              <w:jc w:val="left"/>
                              <w:rPr>
                                <w:rFonts w:cs="Calibri"/>
                                <w:bCs/>
                                <w:color w:val="000000"/>
                                <w:sz w:val="18"/>
                                <w:szCs w:val="21"/>
                              </w:rPr>
                            </w:pPr>
                          </w:p>
                          <w:p w14:paraId="23552D2C" w14:textId="77777777" w:rsidR="006B208F" w:rsidRPr="00A21C2F" w:rsidRDefault="006B208F" w:rsidP="00D21FBB">
                            <w:pPr>
                              <w:jc w:val="left"/>
                              <w:rPr>
                                <w:rFonts w:cs="Calibri"/>
                                <w:bCs/>
                                <w:color w:val="000000"/>
                                <w:sz w:val="18"/>
                                <w:szCs w:val="21"/>
                              </w:rPr>
                            </w:pPr>
                          </w:p>
                          <w:p w14:paraId="15B2B852" w14:textId="77777777" w:rsidR="006B208F" w:rsidRPr="00A21C2F" w:rsidRDefault="006B208F" w:rsidP="00D21FBB">
                            <w:pPr>
                              <w:jc w:val="left"/>
                              <w:rPr>
                                <w:color w:val="000000"/>
                                <w:sz w:val="21"/>
                                <w:szCs w:val="21"/>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1147C" id="Rectangle 221" o:spid="_x0000_s1026" style="position:absolute;left:0;text-align:left;margin-left:3.75pt;margin-top:83.4pt;width:84.6pt;height:196.4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" fillcolor="#f2f2f2" stroked="f" strokeweight="1pt">
                <v:textbox inset="4mm,1mm,7mm">
                  <w:txbxContent>
                    <w:p w14:paraId="6A2BA15E" w14:textId="77777777" w:rsidR="006B208F" w:rsidRPr="00A21C2F" w:rsidRDefault="006B208F" w:rsidP="00D21FBB">
                      <w:pPr>
                        <w:ind w:left="-142" w:right="-268"/>
                        <w:jc w:val="left"/>
                        <w:rPr>
                          <w:rFonts w:cs="Calibri"/>
                          <w:bCs/>
                          <w:color w:val="000000"/>
                          <w:sz w:val="18"/>
                          <w:szCs w:val="21"/>
                        </w:rPr>
                      </w:pPr>
                      <w:r w:rsidRPr="00A21C2F">
                        <w:rPr>
                          <w:rFonts w:ascii="Calibri" w:eastAsia="Calibri" w:hAnsi="Calibri" w:cs="Calibri"/>
                          <w:b/>
                          <w:bCs/>
                          <w:sz w:val="18"/>
                          <w:szCs w:val="21"/>
                        </w:rPr>
                        <w:t xml:space="preserve">Sustainable investment </w:t>
                      </w:r>
                      <w:r w:rsidRPr="00A21C2F">
                        <w:rPr>
                          <w:rFonts w:ascii="Calibri" w:eastAsia="Calibri" w:hAnsi="Calibri" w:cs="Calibri"/>
                          <w:sz w:val="18"/>
                          <w:szCs w:val="21"/>
                        </w:rPr>
                        <w:t>means an investment in an economic activity that contributes to an environmental or social objective, provided that the investment does not significantly harm any environmental or social objective and that the investee companies follow good governance practices.</w:t>
                      </w:r>
                    </w:p>
                    <w:p w14:paraId="26DA7754" w14:textId="77777777" w:rsidR="006B208F" w:rsidRPr="00A21C2F" w:rsidRDefault="006B208F" w:rsidP="00D21FBB">
                      <w:pPr>
                        <w:jc w:val="left"/>
                        <w:rPr>
                          <w:rFonts w:cs="Calibri"/>
                          <w:bCs/>
                          <w:color w:val="000000"/>
                          <w:sz w:val="18"/>
                          <w:szCs w:val="21"/>
                        </w:rPr>
                      </w:pPr>
                    </w:p>
                    <w:p w14:paraId="2620A5BD" w14:textId="77777777" w:rsidR="006B208F" w:rsidRPr="00A21C2F" w:rsidRDefault="006B208F" w:rsidP="00D21FBB">
                      <w:pPr>
                        <w:jc w:val="left"/>
                        <w:rPr>
                          <w:rFonts w:cs="Calibri"/>
                          <w:bCs/>
                          <w:color w:val="000000"/>
                          <w:sz w:val="18"/>
                          <w:szCs w:val="21"/>
                        </w:rPr>
                      </w:pPr>
                    </w:p>
                    <w:p w14:paraId="4D82FD6E" w14:textId="77777777" w:rsidR="006B208F" w:rsidRPr="00A21C2F" w:rsidRDefault="006B208F" w:rsidP="00D21FBB">
                      <w:pPr>
                        <w:jc w:val="left"/>
                        <w:rPr>
                          <w:rFonts w:cs="Calibri"/>
                          <w:bCs/>
                          <w:color w:val="000000"/>
                          <w:sz w:val="18"/>
                          <w:szCs w:val="21"/>
                        </w:rPr>
                      </w:pPr>
                    </w:p>
                    <w:p w14:paraId="35414086" w14:textId="77777777" w:rsidR="006B208F" w:rsidRPr="00A21C2F" w:rsidRDefault="006B208F" w:rsidP="00D21FBB">
                      <w:pPr>
                        <w:jc w:val="left"/>
                        <w:rPr>
                          <w:rFonts w:cs="Calibri"/>
                          <w:bCs/>
                          <w:color w:val="000000"/>
                          <w:sz w:val="18"/>
                          <w:szCs w:val="21"/>
                        </w:rPr>
                      </w:pPr>
                    </w:p>
                    <w:p w14:paraId="23552D2C" w14:textId="77777777" w:rsidR="006B208F" w:rsidRPr="00A21C2F" w:rsidRDefault="006B208F" w:rsidP="00D21FBB">
                      <w:pPr>
                        <w:jc w:val="left"/>
                        <w:rPr>
                          <w:rFonts w:cs="Calibri"/>
                          <w:bCs/>
                          <w:color w:val="000000"/>
                          <w:sz w:val="18"/>
                          <w:szCs w:val="21"/>
                        </w:rPr>
                      </w:pPr>
                    </w:p>
                    <w:p w14:paraId="15B2B852" w14:textId="77777777" w:rsidR="006B208F" w:rsidRPr="00A21C2F" w:rsidRDefault="006B208F" w:rsidP="00D21FBB">
                      <w:pPr>
                        <w:jc w:val="left"/>
                        <w:rPr>
                          <w:color w:val="000000"/>
                          <w:sz w:val="21"/>
                          <w:szCs w:val="21"/>
                        </w:rPr>
                      </w:pPr>
                    </w:p>
                  </w:txbxContent>
                </v:textbox>
                <w10:wrap type="square" anchorx="page" anchory="margin"/>
              </v:rect>
            </w:pict>
          </mc:Fallback>
        </mc:AlternateContent>
      </w:r>
    </w:p>
    <w:p w14:paraId="46BCB604" w14:textId="23D06D43" w:rsidR="00AB1EEE" w:rsidRDefault="00AB1EEE" w:rsidP="00AB1EEE">
      <w:pPr>
        <w:jc w:val="center"/>
        <w:rPr>
          <w:rFonts w:ascii="Caviar Dreams" w:hAnsi="Caviar Dreams"/>
          <w:b/>
          <w:bCs/>
          <w:sz w:val="24"/>
          <w:szCs w:val="24"/>
        </w:rPr>
      </w:pPr>
      <w:r w:rsidRPr="004346A9">
        <w:rPr>
          <w:rFonts w:ascii="Caviar Dreams" w:hAnsi="Caviar Dreams"/>
          <w:b/>
          <w:bCs/>
          <w:sz w:val="24"/>
          <w:szCs w:val="24"/>
        </w:rPr>
        <w:t>Pre-contractual disclosure for the financial products referred to in Article 8, paragraphs 1, 2 and 2a, of Regulation (EU) 2019/2088 and Article 6, first paragraph, of Regulation (EU) 2020/852</w:t>
      </w:r>
    </w:p>
    <w:p w14:paraId="37710437" w14:textId="77777777" w:rsidR="00BD057B" w:rsidRDefault="00BD057B" w:rsidP="00AB1EEE">
      <w:pPr>
        <w:jc w:val="center"/>
        <w:rPr>
          <w:rFonts w:ascii="Caviar Dreams" w:hAnsi="Caviar Dreams"/>
          <w:b/>
          <w:bCs/>
          <w:sz w:val="24"/>
          <w:szCs w:val="24"/>
        </w:rPr>
      </w:pPr>
    </w:p>
    <w:p w14:paraId="03BC8DD3" w14:textId="77777777" w:rsidR="00BD057B" w:rsidRPr="004346A9" w:rsidRDefault="00BD057B" w:rsidP="00AB1EEE">
      <w:pPr>
        <w:jc w:val="center"/>
        <w:rPr>
          <w:rFonts w:ascii="Caviar Dreams" w:hAnsi="Caviar Dreams"/>
          <w:b/>
          <w:bCs/>
          <w:sz w:val="24"/>
          <w:szCs w:val="24"/>
        </w:rPr>
      </w:pPr>
    </w:p>
    <w:p w14:paraId="509F9377" w14:textId="784F2148" w:rsidR="00AB1EEE" w:rsidRPr="004346A9" w:rsidRDefault="00AB1EEE" w:rsidP="00AB1EEE">
      <w:pPr>
        <w:rPr>
          <w:rFonts w:ascii="Source Sans Pro" w:hAnsi="Source Sans Pro"/>
        </w:rPr>
      </w:pPr>
    </w:p>
    <w:p w14:paraId="35BF0D88" w14:textId="3819F98A" w:rsidR="00AB1EEE" w:rsidRDefault="00AB1EEE" w:rsidP="00AB1EEE">
      <w:pPr>
        <w:spacing w:after="80"/>
        <w:rPr>
          <w:rFonts w:ascii="Source Sans Pro" w:hAnsi="Source Sans Pro" w:cs="Times New Roman"/>
        </w:rPr>
      </w:pPr>
    </w:p>
    <w:p w14:paraId="262D31CC" w14:textId="0125F0D3" w:rsidR="0011751C" w:rsidRDefault="0011751C" w:rsidP="0011751C">
      <w:pPr>
        <w:spacing w:after="80"/>
        <w:jc w:val="center"/>
        <w:rPr>
          <w:rFonts w:ascii="Caviar Dreams" w:hAnsi="Caviar Dreams" w:cs="Times New Roman"/>
          <w:b/>
          <w:bCs/>
          <w:color w:val="00B050"/>
          <w:sz w:val="24"/>
          <w:szCs w:val="24"/>
        </w:rPr>
      </w:pPr>
      <w:r w:rsidRPr="0011751C">
        <w:rPr>
          <w:rFonts w:ascii="Caviar Dreams" w:hAnsi="Caviar Dreams" w:cs="Times New Roman"/>
          <w:b/>
          <w:bCs/>
          <w:color w:val="00B050"/>
          <w:sz w:val="24"/>
          <w:szCs w:val="24"/>
        </w:rPr>
        <w:t>Environmental and/ or social characteristics</w:t>
      </w:r>
    </w:p>
    <w:p w14:paraId="0124F847" w14:textId="78C5807F" w:rsidR="0011751C" w:rsidRPr="0011751C" w:rsidRDefault="0011751C" w:rsidP="0011751C">
      <w:pPr>
        <w:spacing w:after="80"/>
        <w:jc w:val="center"/>
        <w:rPr>
          <w:rFonts w:ascii="Caviar Dreams" w:hAnsi="Caviar Dreams" w:cs="Times New Roman"/>
          <w:b/>
          <w:bCs/>
          <w:color w:val="00B050"/>
          <w:sz w:val="24"/>
          <w:szCs w:val="24"/>
        </w:rPr>
      </w:pPr>
    </w:p>
    <w:p w14:paraId="7D76E542" w14:textId="4BDF83D8" w:rsidR="00AB1EEE" w:rsidRPr="004346A9" w:rsidRDefault="006B208F" w:rsidP="00AB1EEE">
      <w:pPr>
        <w:rPr>
          <w:rFonts w:ascii="Source Sans Pro" w:hAnsi="Source Sans Pro" w:cs="Times New Roman"/>
        </w:rPr>
      </w:pPr>
      <w:r w:rsidRPr="003A1C01">
        <w:rPr>
          <w:rFonts w:ascii="Calibri" w:eastAsia="Calibri" w:hAnsi="Calibri"/>
          <w:b/>
          <w:noProof/>
        </w:rPr>
        <mc:AlternateContent>
          <mc:Choice Requires="wps">
            <w:drawing>
              <wp:anchor distT="0" distB="0" distL="114300" distR="114300" simplePos="0" relativeHeight="251676672" behindDoc="0" locked="0" layoutInCell="1" allowOverlap="1" wp14:anchorId="6F937284" wp14:editId="1C1AFAA4">
                <wp:simplePos x="0" y="0"/>
                <wp:positionH relativeFrom="page">
                  <wp:posOffset>47625</wp:posOffset>
                </wp:positionH>
                <wp:positionV relativeFrom="margin">
                  <wp:posOffset>3665855</wp:posOffset>
                </wp:positionV>
                <wp:extent cx="1074420" cy="2903220"/>
                <wp:effectExtent l="0" t="0" r="5080" b="5080"/>
                <wp:wrapSquare wrapText="bothSides"/>
                <wp:docPr id="37" name="Rectangle 37"/>
                <wp:cNvGraphicFramePr/>
                <a:graphic xmlns:a="http://schemas.openxmlformats.org/drawingml/2006/main">
                  <a:graphicData uri="http://schemas.microsoft.com/office/word/2010/wordprocessingShape">
                    <wps:wsp>
                      <wps:cNvSpPr/>
                      <wps:spPr>
                        <a:xfrm>
                          <a:off x="0" y="0"/>
                          <a:ext cx="1074420" cy="2903220"/>
                        </a:xfrm>
                        <a:prstGeom prst="rect">
                          <a:avLst/>
                        </a:prstGeom>
                        <a:solidFill>
                          <a:sysClr val="window" lastClr="FFFFFF">
                            <a:lumMod val="95000"/>
                          </a:sysClr>
                        </a:solidFill>
                        <a:ln w="12700" cap="flat" cmpd="sng" algn="ctr">
                          <a:noFill/>
                          <a:prstDash val="solid"/>
                          <a:miter lim="800000"/>
                        </a:ln>
                        <a:effectLst/>
                      </wps:spPr>
                      <wps:txbx>
                        <w:txbxContent>
                          <w:p w14:paraId="6B70688C" w14:textId="77777777" w:rsidR="006B208F" w:rsidRPr="00A21C2F" w:rsidRDefault="006B208F" w:rsidP="00D21FBB">
                            <w:pPr>
                              <w:ind w:left="-142" w:right="-295"/>
                              <w:jc w:val="left"/>
                              <w:rPr>
                                <w:rFonts w:asciiTheme="minorHAnsi" w:hAnsiTheme="minorHAnsi" w:cstheme="minorHAnsi"/>
                                <w:bCs/>
                                <w:color w:val="000000"/>
                                <w:sz w:val="18"/>
                                <w:szCs w:val="21"/>
                              </w:rPr>
                            </w:pPr>
                            <w:r w:rsidRPr="00A21C2F">
                              <w:rPr>
                                <w:rFonts w:asciiTheme="minorHAnsi" w:hAnsiTheme="minorHAnsi" w:cstheme="minorHAnsi"/>
                                <w:bCs/>
                                <w:color w:val="000000"/>
                                <w:sz w:val="18"/>
                                <w:szCs w:val="21"/>
                              </w:rPr>
                              <w:t xml:space="preserve">The </w:t>
                            </w:r>
                            <w:r w:rsidRPr="00A21C2F">
                              <w:rPr>
                                <w:rFonts w:asciiTheme="minorHAnsi" w:hAnsiTheme="minorHAnsi" w:cstheme="minorHAnsi"/>
                                <w:b/>
                                <w:bCs/>
                                <w:color w:val="000000"/>
                                <w:sz w:val="18"/>
                                <w:szCs w:val="21"/>
                              </w:rPr>
                              <w:t xml:space="preserve">EU Taxonomy </w:t>
                            </w:r>
                            <w:r w:rsidRPr="00A21C2F">
                              <w:rPr>
                                <w:rFonts w:asciiTheme="minorHAnsi" w:hAnsiTheme="minorHAnsi" w:cstheme="minorHAnsi"/>
                                <w:bCs/>
                                <w:color w:val="000000"/>
                                <w:sz w:val="18"/>
                                <w:szCs w:val="21"/>
                              </w:rPr>
                              <w:t xml:space="preserve">is a classification system laid down in Regulation (EU) 2020/852, establishing a list of </w:t>
                            </w:r>
                            <w:r w:rsidRPr="00A21C2F">
                              <w:rPr>
                                <w:rFonts w:asciiTheme="minorHAnsi" w:hAnsiTheme="minorHAnsi" w:cstheme="minorHAnsi"/>
                                <w:b/>
                                <w:bCs/>
                                <w:color w:val="000000"/>
                                <w:sz w:val="18"/>
                                <w:szCs w:val="21"/>
                              </w:rPr>
                              <w:t>environmentally sustainable economic activities</w:t>
                            </w:r>
                            <w:r w:rsidRPr="00A21C2F">
                              <w:rPr>
                                <w:rFonts w:asciiTheme="minorHAnsi" w:hAnsiTheme="minorHAnsi" w:cstheme="minorHAnsi"/>
                                <w:bCs/>
                                <w:color w:val="000000"/>
                                <w:sz w:val="18"/>
                                <w:szCs w:val="21"/>
                              </w:rPr>
                              <w:t xml:space="preserve">. That Regulation does not include a list of socially sustainable economic activities.  Sustainable investments with an environmental objective might be aligned with the Taxonomy or not.  </w:t>
                            </w:r>
                          </w:p>
                          <w:p w14:paraId="5267A7A3" w14:textId="77777777" w:rsidR="006B208F" w:rsidRPr="00A21C2F" w:rsidRDefault="006B208F" w:rsidP="00D21FBB">
                            <w:pPr>
                              <w:jc w:val="left"/>
                              <w:rPr>
                                <w:rFonts w:cs="Calibri"/>
                                <w:bCs/>
                                <w:color w:val="000000"/>
                                <w:sz w:val="18"/>
                                <w:szCs w:val="21"/>
                              </w:rPr>
                            </w:pPr>
                          </w:p>
                          <w:p w14:paraId="6D96FDE4" w14:textId="77777777" w:rsidR="006B208F" w:rsidRPr="00A21C2F" w:rsidRDefault="006B208F" w:rsidP="00D21FBB">
                            <w:pPr>
                              <w:jc w:val="left"/>
                              <w:rPr>
                                <w:rFonts w:cs="Calibri"/>
                                <w:bCs/>
                                <w:color w:val="000000"/>
                                <w:sz w:val="18"/>
                                <w:szCs w:val="21"/>
                              </w:rPr>
                            </w:pPr>
                          </w:p>
                          <w:p w14:paraId="54970053" w14:textId="77777777" w:rsidR="006B208F" w:rsidRPr="00A21C2F" w:rsidRDefault="006B208F" w:rsidP="00D21FBB">
                            <w:pPr>
                              <w:jc w:val="left"/>
                              <w:rPr>
                                <w:rFonts w:cs="Calibri"/>
                                <w:bCs/>
                                <w:color w:val="000000"/>
                                <w:sz w:val="18"/>
                                <w:szCs w:val="21"/>
                              </w:rPr>
                            </w:pPr>
                          </w:p>
                          <w:p w14:paraId="3FF44A97" w14:textId="77777777" w:rsidR="006B208F" w:rsidRPr="00A21C2F" w:rsidRDefault="006B208F" w:rsidP="00D21FBB">
                            <w:pPr>
                              <w:jc w:val="left"/>
                              <w:rPr>
                                <w:rFonts w:cs="Calibri"/>
                                <w:bCs/>
                                <w:color w:val="000000"/>
                                <w:sz w:val="18"/>
                                <w:szCs w:val="21"/>
                              </w:rPr>
                            </w:pPr>
                          </w:p>
                          <w:p w14:paraId="19DE65EA" w14:textId="77777777" w:rsidR="006B208F" w:rsidRPr="00A21C2F" w:rsidRDefault="006B208F" w:rsidP="00D21FBB">
                            <w:pPr>
                              <w:jc w:val="left"/>
                              <w:rPr>
                                <w:rFonts w:cs="Calibri"/>
                                <w:bCs/>
                                <w:color w:val="000000"/>
                                <w:sz w:val="18"/>
                                <w:szCs w:val="21"/>
                              </w:rPr>
                            </w:pPr>
                          </w:p>
                          <w:p w14:paraId="03F87A6F" w14:textId="77777777" w:rsidR="006B208F" w:rsidRPr="00A21C2F" w:rsidRDefault="006B208F" w:rsidP="00D21FBB">
                            <w:pPr>
                              <w:jc w:val="left"/>
                              <w:rPr>
                                <w:color w:val="000000"/>
                                <w:sz w:val="21"/>
                                <w:szCs w:val="21"/>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37284" id="Rectangle 37" o:spid="_x0000_s1027" style="position:absolute;left:0;text-align:left;margin-left:3.75pt;margin-top:288.65pt;width:84.6pt;height:228.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" fillcolor="#f2f2f2" stroked="f" strokeweight="1pt">
                <v:textbox inset="4mm,1mm,7mm">
                  <w:txbxContent>
                    <w:p w14:paraId="6B70688C" w14:textId="77777777" w:rsidR="006B208F" w:rsidRPr="00A21C2F" w:rsidRDefault="006B208F" w:rsidP="00D21FBB">
                      <w:pPr>
                        <w:ind w:left="-142" w:right="-295"/>
                        <w:jc w:val="left"/>
                        <w:rPr>
                          <w:rFonts w:asciiTheme="minorHAnsi" w:hAnsiTheme="minorHAnsi" w:cstheme="minorHAnsi"/>
                          <w:bCs/>
                          <w:color w:val="000000"/>
                          <w:sz w:val="18"/>
                          <w:szCs w:val="21"/>
                        </w:rPr>
                      </w:pPr>
                      <w:r w:rsidRPr="00A21C2F">
                        <w:rPr>
                          <w:rFonts w:asciiTheme="minorHAnsi" w:hAnsiTheme="minorHAnsi" w:cstheme="minorHAnsi"/>
                          <w:bCs/>
                          <w:color w:val="000000"/>
                          <w:sz w:val="18"/>
                          <w:szCs w:val="21"/>
                        </w:rPr>
                        <w:t xml:space="preserve">The </w:t>
                      </w:r>
                      <w:r w:rsidRPr="00A21C2F">
                        <w:rPr>
                          <w:rFonts w:asciiTheme="minorHAnsi" w:hAnsiTheme="minorHAnsi" w:cstheme="minorHAnsi"/>
                          <w:b/>
                          <w:bCs/>
                          <w:color w:val="000000"/>
                          <w:sz w:val="18"/>
                          <w:szCs w:val="21"/>
                        </w:rPr>
                        <w:t xml:space="preserve">EU Taxonomy </w:t>
                      </w:r>
                      <w:r w:rsidRPr="00A21C2F">
                        <w:rPr>
                          <w:rFonts w:asciiTheme="minorHAnsi" w:hAnsiTheme="minorHAnsi" w:cstheme="minorHAnsi"/>
                          <w:bCs/>
                          <w:color w:val="000000"/>
                          <w:sz w:val="18"/>
                          <w:szCs w:val="21"/>
                        </w:rPr>
                        <w:t xml:space="preserve">is a classification system laid down in Regulation (EU) 2020/852, establishing a list of </w:t>
                      </w:r>
                      <w:r w:rsidRPr="00A21C2F">
                        <w:rPr>
                          <w:rFonts w:asciiTheme="minorHAnsi" w:hAnsiTheme="minorHAnsi" w:cstheme="minorHAnsi"/>
                          <w:b/>
                          <w:bCs/>
                          <w:color w:val="000000"/>
                          <w:sz w:val="18"/>
                          <w:szCs w:val="21"/>
                        </w:rPr>
                        <w:t>environmentally sustainable economic activities</w:t>
                      </w:r>
                      <w:r w:rsidRPr="00A21C2F">
                        <w:rPr>
                          <w:rFonts w:asciiTheme="minorHAnsi" w:hAnsiTheme="minorHAnsi" w:cstheme="minorHAnsi"/>
                          <w:bCs/>
                          <w:color w:val="000000"/>
                          <w:sz w:val="18"/>
                          <w:szCs w:val="21"/>
                        </w:rPr>
                        <w:t xml:space="preserve">. That Regulation does not include a list of socially sustainable economic activities.  Sustainable investments with an environmental objective might be aligned with the Taxonomy or not.  </w:t>
                      </w:r>
                    </w:p>
                    <w:p w14:paraId="5267A7A3" w14:textId="77777777" w:rsidR="006B208F" w:rsidRPr="00A21C2F" w:rsidRDefault="006B208F" w:rsidP="00D21FBB">
                      <w:pPr>
                        <w:jc w:val="left"/>
                        <w:rPr>
                          <w:rFonts w:cs="Calibri"/>
                          <w:bCs/>
                          <w:color w:val="000000"/>
                          <w:sz w:val="18"/>
                          <w:szCs w:val="21"/>
                        </w:rPr>
                      </w:pPr>
                    </w:p>
                    <w:p w14:paraId="6D96FDE4" w14:textId="77777777" w:rsidR="006B208F" w:rsidRPr="00A21C2F" w:rsidRDefault="006B208F" w:rsidP="00D21FBB">
                      <w:pPr>
                        <w:jc w:val="left"/>
                        <w:rPr>
                          <w:rFonts w:cs="Calibri"/>
                          <w:bCs/>
                          <w:color w:val="000000"/>
                          <w:sz w:val="18"/>
                          <w:szCs w:val="21"/>
                        </w:rPr>
                      </w:pPr>
                    </w:p>
                    <w:p w14:paraId="54970053" w14:textId="77777777" w:rsidR="006B208F" w:rsidRPr="00A21C2F" w:rsidRDefault="006B208F" w:rsidP="00D21FBB">
                      <w:pPr>
                        <w:jc w:val="left"/>
                        <w:rPr>
                          <w:rFonts w:cs="Calibri"/>
                          <w:bCs/>
                          <w:color w:val="000000"/>
                          <w:sz w:val="18"/>
                          <w:szCs w:val="21"/>
                        </w:rPr>
                      </w:pPr>
                    </w:p>
                    <w:p w14:paraId="3FF44A97" w14:textId="77777777" w:rsidR="006B208F" w:rsidRPr="00A21C2F" w:rsidRDefault="006B208F" w:rsidP="00D21FBB">
                      <w:pPr>
                        <w:jc w:val="left"/>
                        <w:rPr>
                          <w:rFonts w:cs="Calibri"/>
                          <w:bCs/>
                          <w:color w:val="000000"/>
                          <w:sz w:val="18"/>
                          <w:szCs w:val="21"/>
                        </w:rPr>
                      </w:pPr>
                    </w:p>
                    <w:p w14:paraId="19DE65EA" w14:textId="77777777" w:rsidR="006B208F" w:rsidRPr="00A21C2F" w:rsidRDefault="006B208F" w:rsidP="00D21FBB">
                      <w:pPr>
                        <w:jc w:val="left"/>
                        <w:rPr>
                          <w:rFonts w:cs="Calibri"/>
                          <w:bCs/>
                          <w:color w:val="000000"/>
                          <w:sz w:val="18"/>
                          <w:szCs w:val="21"/>
                        </w:rPr>
                      </w:pPr>
                    </w:p>
                    <w:p w14:paraId="03F87A6F" w14:textId="77777777" w:rsidR="006B208F" w:rsidRPr="00A21C2F" w:rsidRDefault="006B208F" w:rsidP="00D21FBB">
                      <w:pPr>
                        <w:jc w:val="left"/>
                        <w:rPr>
                          <w:color w:val="000000"/>
                          <w:sz w:val="21"/>
                          <w:szCs w:val="21"/>
                        </w:rPr>
                      </w:pPr>
                    </w:p>
                  </w:txbxContent>
                </v:textbox>
                <w10:wrap type="square" anchorx="page" anchory="margin"/>
              </v:rect>
            </w:pict>
          </mc:Fallback>
        </mc:AlternateContent>
      </w:r>
      <w:r w:rsidR="00AB1EEE" w:rsidRPr="004346A9">
        <w:rPr>
          <w:rFonts w:ascii="Source Sans Pro" w:hAnsi="Source Sans Pro"/>
          <w:noProof/>
        </w:rPr>
        <w:drawing>
          <wp:inline distT="0" distB="0" distL="0" distR="0" wp14:anchorId="4135AD3C" wp14:editId="4343B714">
            <wp:extent cx="5410200" cy="3381375"/>
            <wp:effectExtent l="0" t="0" r="0" b="0"/>
            <wp:docPr id="1313303214" name="Picture 1313303214"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303214" name="Picture 1313303214" descr="Une image contenant texte, capture d’écran, Polic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5410200" cy="3381375"/>
                    </a:xfrm>
                    <a:prstGeom prst="rect">
                      <a:avLst/>
                    </a:prstGeom>
                  </pic:spPr>
                </pic:pic>
              </a:graphicData>
            </a:graphic>
          </wp:inline>
        </w:drawing>
      </w:r>
    </w:p>
    <w:p w14:paraId="798B1B5A" w14:textId="77777777" w:rsidR="00AB1EEE" w:rsidRDefault="00AB1EEE" w:rsidP="00AB1EEE">
      <w:pPr>
        <w:rPr>
          <w:rFonts w:ascii="Source Sans Pro" w:hAnsi="Source Sans Pro" w:cs="Times New Roman"/>
        </w:rPr>
      </w:pPr>
    </w:p>
    <w:p w14:paraId="68DBFA5C" w14:textId="77777777" w:rsidR="006B208F" w:rsidRDefault="006B208F" w:rsidP="00AB1EEE">
      <w:pPr>
        <w:rPr>
          <w:rFonts w:ascii="Source Sans Pro" w:hAnsi="Source Sans Pro" w:cs="Times New Roman"/>
        </w:rPr>
      </w:pPr>
    </w:p>
    <w:p w14:paraId="2DF3F256" w14:textId="77777777" w:rsidR="006B208F" w:rsidRDefault="006B208F" w:rsidP="00AB1EEE">
      <w:pPr>
        <w:rPr>
          <w:rFonts w:ascii="Source Sans Pro" w:hAnsi="Source Sans Pro" w:cs="Times New Roman"/>
        </w:rPr>
      </w:pPr>
    </w:p>
    <w:p w14:paraId="7F0440D1" w14:textId="62A9E3C5" w:rsidR="006B208F" w:rsidRPr="004346A9" w:rsidRDefault="006B208F" w:rsidP="00AB1EEE">
      <w:pPr>
        <w:rPr>
          <w:rFonts w:ascii="Source Sans Pro" w:hAnsi="Source Sans Pro" w:cs="Times New Roman"/>
        </w:rPr>
      </w:pPr>
    </w:p>
    <w:p w14:paraId="68A55004" w14:textId="75A3EB3E" w:rsidR="00AB1EEE" w:rsidRPr="004346A9" w:rsidRDefault="00AB1EEE" w:rsidP="00AB1EEE">
      <w:pPr>
        <w:rPr>
          <w:rFonts w:ascii="Source Sans Pro" w:hAnsi="Source Sans Pro" w:cs="Times New Roman"/>
        </w:rPr>
      </w:pPr>
      <w:r w:rsidRPr="004346A9">
        <w:rPr>
          <w:rFonts w:ascii="Source Sans Pro" w:hAnsi="Source Sans Pro"/>
          <w:noProof/>
        </w:rPr>
        <w:drawing>
          <wp:anchor distT="114300" distB="114300" distL="114300" distR="114300" simplePos="0" relativeHeight="251659264" behindDoc="1" locked="0" layoutInCell="1" hidden="0" allowOverlap="1" wp14:anchorId="17D363C4" wp14:editId="78C6526F">
            <wp:simplePos x="0" y="0"/>
            <wp:positionH relativeFrom="column">
              <wp:posOffset>1</wp:posOffset>
            </wp:positionH>
            <wp:positionV relativeFrom="paragraph">
              <wp:posOffset>123825</wp:posOffset>
            </wp:positionV>
            <wp:extent cx="914400" cy="457200"/>
            <wp:effectExtent l="0" t="0" r="0" b="0"/>
            <wp:wrapNone/>
            <wp:docPr id="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914400" cy="457200"/>
                    </a:xfrm>
                    <a:prstGeom prst="rect">
                      <a:avLst/>
                    </a:prstGeom>
                    <a:ln/>
                  </pic:spPr>
                </pic:pic>
              </a:graphicData>
            </a:graphic>
          </wp:anchor>
        </w:drawing>
      </w:r>
    </w:p>
    <w:p w14:paraId="28FBA144" w14:textId="576BECD7" w:rsidR="00AB1EEE" w:rsidRPr="004346A9" w:rsidRDefault="00AB1EEE" w:rsidP="00AB1EEE">
      <w:pPr>
        <w:numPr>
          <w:ilvl w:val="0"/>
          <w:numId w:val="10"/>
        </w:numPr>
        <w:rPr>
          <w:rFonts w:ascii="Source Sans Pro" w:hAnsi="Source Sans Pro" w:cs="Times New Roman"/>
          <w:b/>
        </w:rPr>
      </w:pPr>
      <w:r w:rsidRPr="004346A9">
        <w:rPr>
          <w:rFonts w:ascii="Source Sans Pro" w:hAnsi="Source Sans Pro" w:cs="Times New Roman"/>
          <w:b/>
        </w:rPr>
        <w:t>What environmental and/or social characteristics are promoted by this financial product?</w:t>
      </w:r>
    </w:p>
    <w:p w14:paraId="58667230" w14:textId="7CB5497E" w:rsidR="00AB1EEE" w:rsidRPr="004346A9" w:rsidRDefault="00AB1EEE" w:rsidP="00AB1EEE">
      <w:pPr>
        <w:rPr>
          <w:rFonts w:ascii="Source Sans Pro" w:hAnsi="Source Sans Pro" w:cs="Times New Roman"/>
        </w:rPr>
      </w:pPr>
      <w:r w:rsidRPr="004346A9">
        <w:rPr>
          <w:rFonts w:ascii="Source Sans Pro" w:hAnsi="Source Sans Pro" w:cs="Times New Roman"/>
        </w:rPr>
        <w:t xml:space="preserve"> </w:t>
      </w:r>
    </w:p>
    <w:p w14:paraId="3BA7CB04" w14:textId="2A93DB6D" w:rsidR="00AB1EEE" w:rsidRPr="004346A9" w:rsidRDefault="00571B17" w:rsidP="00AB1EEE">
      <w:pPr>
        <w:rPr>
          <w:rFonts w:ascii="Source Sans Pro" w:eastAsia="Source Sans Pro" w:hAnsi="Source Sans Pro" w:cs="Source Sans Pro"/>
        </w:rPr>
      </w:pPr>
      <w:r w:rsidRPr="003A1C01">
        <w:rPr>
          <w:rFonts w:ascii="Calibri" w:eastAsia="Calibri" w:hAnsi="Calibri"/>
          <w:noProof/>
        </w:rPr>
        <mc:AlternateContent>
          <mc:Choice Requires="wps">
            <w:drawing>
              <wp:anchor distT="0" distB="0" distL="114300" distR="114300" simplePos="0" relativeHeight="251673600" behindDoc="0" locked="0" layoutInCell="1" allowOverlap="1" wp14:anchorId="0279A247" wp14:editId="42E54BBA">
                <wp:simplePos x="0" y="0"/>
                <wp:positionH relativeFrom="page">
                  <wp:posOffset>47625</wp:posOffset>
                </wp:positionH>
                <wp:positionV relativeFrom="margin">
                  <wp:posOffset>8077802</wp:posOffset>
                </wp:positionV>
                <wp:extent cx="1026160" cy="1363345"/>
                <wp:effectExtent l="0" t="0" r="2540" b="0"/>
                <wp:wrapSquare wrapText="bothSides"/>
                <wp:docPr id="348" name="Rectangle 348"/>
                <wp:cNvGraphicFramePr/>
                <a:graphic xmlns:a="http://schemas.openxmlformats.org/drawingml/2006/main">
                  <a:graphicData uri="http://schemas.microsoft.com/office/word/2010/wordprocessingShape">
                    <wps:wsp>
                      <wps:cNvSpPr/>
                      <wps:spPr>
                        <a:xfrm>
                          <a:off x="0" y="0"/>
                          <a:ext cx="1026160" cy="1363345"/>
                        </a:xfrm>
                        <a:prstGeom prst="rect">
                          <a:avLst/>
                        </a:prstGeom>
                        <a:solidFill>
                          <a:sysClr val="window" lastClr="FFFFFF">
                            <a:lumMod val="95000"/>
                          </a:sysClr>
                        </a:solidFill>
                        <a:ln w="12700" cap="flat" cmpd="sng" algn="ctr">
                          <a:noFill/>
                          <a:prstDash val="solid"/>
                          <a:miter lim="800000"/>
                        </a:ln>
                        <a:effectLst/>
                      </wps:spPr>
                      <wps:txbx>
                        <w:txbxContent>
                          <w:p w14:paraId="210ED176" w14:textId="77777777" w:rsidR="006B208F" w:rsidRPr="00A21C2F" w:rsidRDefault="006B208F" w:rsidP="00D21FBB">
                            <w:pPr>
                              <w:ind w:left="-142" w:right="-268"/>
                              <w:jc w:val="left"/>
                              <w:rPr>
                                <w:rFonts w:asciiTheme="minorHAnsi" w:hAnsiTheme="minorHAnsi" w:cstheme="minorHAnsi"/>
                                <w:color w:val="000000"/>
                                <w:sz w:val="18"/>
                                <w:szCs w:val="21"/>
                              </w:rPr>
                            </w:pPr>
                            <w:r w:rsidRPr="00A21C2F">
                              <w:rPr>
                                <w:rFonts w:asciiTheme="minorHAnsi" w:hAnsiTheme="minorHAnsi" w:cstheme="minorHAnsi"/>
                                <w:b/>
                                <w:bCs/>
                                <w:color w:val="000000"/>
                                <w:sz w:val="18"/>
                                <w:szCs w:val="21"/>
                              </w:rPr>
                              <w:t>Sustainability indicators</w:t>
                            </w:r>
                            <w:r w:rsidRPr="00A21C2F">
                              <w:rPr>
                                <w:rFonts w:asciiTheme="minorHAnsi" w:hAnsiTheme="minorHAnsi" w:cstheme="minorHAnsi"/>
                                <w:color w:val="000000"/>
                                <w:sz w:val="18"/>
                                <w:szCs w:val="21"/>
                              </w:rPr>
                              <w:t xml:space="preserve"> measure </w:t>
                            </w:r>
                            <w:r w:rsidRPr="00A21C2F">
                              <w:rPr>
                                <w:rFonts w:asciiTheme="minorHAnsi" w:hAnsiTheme="minorHAnsi" w:cstheme="minorHAnsi"/>
                                <w:color w:val="000000"/>
                                <w:sz w:val="18"/>
                                <w:szCs w:val="21"/>
                                <w:lang w:val="en-US"/>
                              </w:rPr>
                              <w:t>how the environmental or social characteristics promoted by the financial product are attained.</w:t>
                            </w:r>
                          </w:p>
                          <w:p w14:paraId="508658EF" w14:textId="77777777" w:rsidR="006B208F" w:rsidRPr="00A21C2F" w:rsidRDefault="006B208F" w:rsidP="00D21FBB">
                            <w:pPr>
                              <w:jc w:val="left"/>
                              <w:rPr>
                                <w:color w:val="000000"/>
                                <w:sz w:val="21"/>
                                <w:szCs w:val="21"/>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9A247" id="Rectangle 348" o:spid="_x0000_s1028" style="position:absolute;left:0;text-align:left;margin-left:3.75pt;margin-top:636.05pt;width:80.8pt;height:107.3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" fillcolor="#f2f2f2" stroked="f" strokeweight="1pt">
                <v:textbox inset="4mm,1mm,7mm">
                  <w:txbxContent>
                    <w:p w14:paraId="210ED176" w14:textId="77777777" w:rsidR="006B208F" w:rsidRPr="00A21C2F" w:rsidRDefault="006B208F" w:rsidP="00D21FBB">
                      <w:pPr>
                        <w:ind w:left="-142" w:right="-268"/>
                        <w:jc w:val="left"/>
                        <w:rPr>
                          <w:rFonts w:asciiTheme="minorHAnsi" w:hAnsiTheme="minorHAnsi" w:cstheme="minorHAnsi"/>
                          <w:color w:val="000000"/>
                          <w:sz w:val="18"/>
                          <w:szCs w:val="21"/>
                        </w:rPr>
                      </w:pPr>
                      <w:r w:rsidRPr="00A21C2F">
                        <w:rPr>
                          <w:rFonts w:asciiTheme="minorHAnsi" w:hAnsiTheme="minorHAnsi" w:cstheme="minorHAnsi"/>
                          <w:b/>
                          <w:bCs/>
                          <w:color w:val="000000"/>
                          <w:sz w:val="18"/>
                          <w:szCs w:val="21"/>
                        </w:rPr>
                        <w:t>Sustainability indicators</w:t>
                      </w:r>
                      <w:r w:rsidRPr="00A21C2F">
                        <w:rPr>
                          <w:rFonts w:asciiTheme="minorHAnsi" w:hAnsiTheme="minorHAnsi" w:cstheme="minorHAnsi"/>
                          <w:color w:val="000000"/>
                          <w:sz w:val="18"/>
                          <w:szCs w:val="21"/>
                        </w:rPr>
                        <w:t xml:space="preserve"> measure </w:t>
                      </w:r>
                      <w:r w:rsidRPr="00A21C2F">
                        <w:rPr>
                          <w:rFonts w:asciiTheme="minorHAnsi" w:hAnsiTheme="minorHAnsi" w:cstheme="minorHAnsi"/>
                          <w:color w:val="000000"/>
                          <w:sz w:val="18"/>
                          <w:szCs w:val="21"/>
                          <w:lang w:val="en-US"/>
                        </w:rPr>
                        <w:t>how the environmental or social characteristics promoted by the financial product are attained.</w:t>
                      </w:r>
                    </w:p>
                    <w:p w14:paraId="508658EF" w14:textId="77777777" w:rsidR="006B208F" w:rsidRPr="00A21C2F" w:rsidRDefault="006B208F" w:rsidP="00D21FBB">
                      <w:pPr>
                        <w:jc w:val="left"/>
                        <w:rPr>
                          <w:color w:val="000000"/>
                          <w:sz w:val="21"/>
                          <w:szCs w:val="21"/>
                        </w:rPr>
                      </w:pPr>
                    </w:p>
                  </w:txbxContent>
                </v:textbox>
                <w10:wrap type="square" anchorx="page" anchory="margin"/>
              </v:rect>
            </w:pict>
          </mc:Fallback>
        </mc:AlternateContent>
      </w:r>
    </w:p>
    <w:p w14:paraId="04172627" w14:textId="33000706" w:rsidR="00AB1EEE" w:rsidRPr="004346A9" w:rsidRDefault="00AB1EEE" w:rsidP="00AB1EEE">
      <w:pPr>
        <w:rPr>
          <w:rFonts w:ascii="Source Sans Pro" w:hAnsi="Source Sans Pro"/>
          <w:lang w:val="en-US"/>
        </w:rPr>
      </w:pPr>
      <w:r w:rsidRPr="004346A9">
        <w:rPr>
          <w:rFonts w:ascii="Source Sans Pro" w:eastAsia="Source Sans Pro" w:hAnsi="Source Sans Pro" w:cs="Source Sans Pro"/>
        </w:rPr>
        <w:t xml:space="preserve">At Elaia Partners, we established in 2020 an ESG committee dedicated to developing and implementing the </w:t>
      </w:r>
      <w:r w:rsidRPr="004346A9">
        <w:rPr>
          <w:rFonts w:ascii="Source Sans Pro" w:eastAsia="Source Sans Pro" w:hAnsi="Source Sans Pro" w:cs="Source Sans Pro"/>
          <w:color w:val="000000" w:themeColor="text1"/>
        </w:rPr>
        <w:t xml:space="preserve">environmental and or social </w:t>
      </w:r>
      <w:r w:rsidRPr="004346A9">
        <w:rPr>
          <w:rFonts w:ascii="Source Sans Pro" w:eastAsia="Source Sans Pro" w:hAnsi="Source Sans Pro" w:cs="Source Sans Pro"/>
        </w:rPr>
        <w:t xml:space="preserve">strategy. Based on best practices, the committee’s role is: </w:t>
      </w:r>
    </w:p>
    <w:p w14:paraId="071F4AD0" w14:textId="0995D62B" w:rsidR="00AB1EEE" w:rsidRPr="004346A9" w:rsidRDefault="00AB1EEE" w:rsidP="00AB1EEE">
      <w:pPr>
        <w:pStyle w:val="Paragraphedeliste"/>
        <w:numPr>
          <w:ilvl w:val="0"/>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 xml:space="preserve">To be a trusted and central resource to other team members </w:t>
      </w:r>
    </w:p>
    <w:p w14:paraId="5685BA38" w14:textId="5476164C" w:rsidR="00AB1EEE" w:rsidRPr="004346A9" w:rsidRDefault="00AB1EEE" w:rsidP="00BD057B">
      <w:pPr>
        <w:pStyle w:val="Paragraphedeliste"/>
        <w:numPr>
          <w:ilvl w:val="0"/>
          <w:numId w:val="17"/>
        </w:numPr>
        <w:spacing w:line="259" w:lineRule="auto"/>
        <w:ind w:hanging="153"/>
        <w:contextualSpacing/>
        <w:rPr>
          <w:rFonts w:ascii="Source Sans Pro" w:eastAsia="Source Sans Pro" w:hAnsi="Source Sans Pro" w:cs="Source Sans Pro"/>
        </w:rPr>
      </w:pPr>
      <w:r w:rsidRPr="004346A9">
        <w:rPr>
          <w:rFonts w:ascii="Source Sans Pro" w:eastAsia="Source Sans Pro" w:hAnsi="Source Sans Pro" w:cs="Source Sans Pro"/>
        </w:rPr>
        <w:t xml:space="preserve">To promote the strategy to all entities internally: </w:t>
      </w:r>
    </w:p>
    <w:p w14:paraId="6345DA12" w14:textId="4216F21A" w:rsidR="00AB1EEE" w:rsidRPr="004346A9" w:rsidRDefault="00AB1EEE" w:rsidP="00AB1EEE">
      <w:pPr>
        <w:pStyle w:val="Paragraphedeliste"/>
        <w:numPr>
          <w:ilvl w:val="1"/>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 xml:space="preserve">100% of FTEs have been trained to CSR topics. </w:t>
      </w:r>
    </w:p>
    <w:p w14:paraId="09CBDBAE" w14:textId="77777777" w:rsidR="00AB1EEE" w:rsidRPr="004346A9" w:rsidRDefault="00AB1EEE" w:rsidP="00AB1EEE">
      <w:pPr>
        <w:pStyle w:val="Paragraphedeliste"/>
        <w:numPr>
          <w:ilvl w:val="1"/>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 xml:space="preserve">Annual ESG training is mandatory for all team members. </w:t>
      </w:r>
    </w:p>
    <w:p w14:paraId="6CB74E57" w14:textId="77777777" w:rsidR="00AB1EEE" w:rsidRPr="004346A9" w:rsidRDefault="00AB1EEE" w:rsidP="00AB1EEE">
      <w:pPr>
        <w:pStyle w:val="Paragraphedeliste"/>
        <w:numPr>
          <w:ilvl w:val="1"/>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 xml:space="preserve">The aim of the training is to provide the necessary skills and knowledge. </w:t>
      </w:r>
    </w:p>
    <w:p w14:paraId="4F455F48" w14:textId="77777777" w:rsidR="00AB1EEE" w:rsidRPr="004346A9" w:rsidRDefault="00AB1EEE" w:rsidP="00AB1EEE">
      <w:pPr>
        <w:pStyle w:val="Paragraphedeliste"/>
        <w:numPr>
          <w:ilvl w:val="1"/>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lastRenderedPageBreak/>
        <w:t xml:space="preserve">It covers establishing a carbon footprint, addressing the challenges of a low-carbon transition approach once the carbon footprint has been established, addressing the study of risks and opportunities, the methodological frameworks and the issues related to the associated change management. </w:t>
      </w:r>
    </w:p>
    <w:p w14:paraId="33653AC7" w14:textId="77777777" w:rsidR="00AB1EEE" w:rsidRPr="004346A9" w:rsidRDefault="00AB1EEE" w:rsidP="00AB1EEE">
      <w:pPr>
        <w:pStyle w:val="Paragraphedeliste"/>
        <w:numPr>
          <w:ilvl w:val="0"/>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 xml:space="preserve">To recommend best practices to our portfolio companies </w:t>
      </w:r>
    </w:p>
    <w:p w14:paraId="4D8CB42B" w14:textId="77777777" w:rsidR="00AB1EEE" w:rsidRPr="004346A9" w:rsidRDefault="00AB1EEE" w:rsidP="00AB1EEE">
      <w:pPr>
        <w:pStyle w:val="Paragraphedeliste"/>
        <w:numPr>
          <w:ilvl w:val="0"/>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To monitor and collect data from our portfolio companies and share it externally</w:t>
      </w:r>
    </w:p>
    <w:p w14:paraId="29E8A13A" w14:textId="77777777" w:rsidR="00AB1EEE" w:rsidRPr="004346A9" w:rsidRDefault="00AB1EEE" w:rsidP="00571B17">
      <w:pPr>
        <w:ind w:left="360"/>
        <w:rPr>
          <w:rFonts w:ascii="Source Sans Pro" w:eastAsia="Source Sans Pro" w:hAnsi="Source Sans Pro" w:cs="Source Sans Pro"/>
        </w:rPr>
      </w:pPr>
      <w:r w:rsidRPr="004346A9">
        <w:rPr>
          <w:rFonts w:ascii="Source Sans Pro" w:eastAsia="Source Sans Pro" w:hAnsi="Source Sans Pro" w:cs="Source Sans Pro"/>
        </w:rPr>
        <w:t xml:space="preserve">At management company level, on the environmental pillar, Elaia Partners is committed to reducing its environmental impact by managing its buildings and resources responsibly and by monitoring and controlling its CO2 emissions. This includes, but is not limited to, the following actions: </w:t>
      </w:r>
    </w:p>
    <w:p w14:paraId="5C7DEC1C" w14:textId="77777777" w:rsidR="00AB1EEE" w:rsidRPr="004346A9" w:rsidRDefault="00AB1EEE" w:rsidP="00571B17">
      <w:pPr>
        <w:pStyle w:val="Paragraphedeliste"/>
        <w:numPr>
          <w:ilvl w:val="1"/>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 xml:space="preserve">Carbon assessment: Elaia Parners seeks to assess its activities’ exhaustive carbon footprint regularly (including Scopes 1, 2 and 3) </w:t>
      </w:r>
    </w:p>
    <w:p w14:paraId="65D7D74B" w14:textId="77777777" w:rsidR="00AB1EEE" w:rsidRPr="004346A9" w:rsidRDefault="00AB1EEE" w:rsidP="00571B17">
      <w:pPr>
        <w:pStyle w:val="Paragraphedeliste"/>
        <w:numPr>
          <w:ilvl w:val="1"/>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Responsible use of paper</w:t>
      </w:r>
    </w:p>
    <w:p w14:paraId="246B5262" w14:textId="77777777" w:rsidR="00AB1EEE" w:rsidRPr="004346A9" w:rsidRDefault="00AB1EEE" w:rsidP="00571B17">
      <w:pPr>
        <w:pStyle w:val="Paragraphedeliste"/>
        <w:numPr>
          <w:ilvl w:val="1"/>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Responsible waste management</w:t>
      </w:r>
    </w:p>
    <w:p w14:paraId="44442FED" w14:textId="77777777" w:rsidR="00AB1EEE" w:rsidRPr="004346A9" w:rsidRDefault="00AB1EEE" w:rsidP="00571B17">
      <w:pPr>
        <w:pStyle w:val="Paragraphedeliste"/>
        <w:numPr>
          <w:ilvl w:val="1"/>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Removing single-use and plastic utensils</w:t>
      </w:r>
    </w:p>
    <w:p w14:paraId="06EF6507" w14:textId="77777777" w:rsidR="00AB1EEE" w:rsidRPr="004346A9" w:rsidRDefault="00AB1EEE" w:rsidP="00571B17">
      <w:pPr>
        <w:pStyle w:val="Paragraphedeliste"/>
        <w:numPr>
          <w:ilvl w:val="1"/>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 xml:space="preserve">Travel policy </w:t>
      </w:r>
    </w:p>
    <w:p w14:paraId="29036D6D" w14:textId="77777777" w:rsidR="00AB1EEE" w:rsidRPr="004346A9" w:rsidRDefault="00AB1EEE" w:rsidP="00571B17">
      <w:pPr>
        <w:ind w:left="360"/>
        <w:rPr>
          <w:rFonts w:ascii="Source Sans Pro" w:hAnsi="Source Sans Pro"/>
          <w:lang w:val="en-US"/>
        </w:rPr>
      </w:pPr>
      <w:r w:rsidRPr="004346A9">
        <w:rPr>
          <w:rFonts w:ascii="Source Sans Pro" w:eastAsia="Source Sans Pro" w:hAnsi="Source Sans Pro" w:cs="Source Sans Pro"/>
        </w:rPr>
        <w:t xml:space="preserve">On the social pillar, we believe that human capital diversity adds value to the company and is essential to developing a sustainable economy. Therefore, we have chosen to demonstrate our commitment to this topic by: </w:t>
      </w:r>
    </w:p>
    <w:p w14:paraId="0389A4B3" w14:textId="77777777" w:rsidR="00AB1EEE" w:rsidRPr="004346A9" w:rsidRDefault="00AB1EEE" w:rsidP="00571B17">
      <w:pPr>
        <w:pStyle w:val="Paragraphedeliste"/>
        <w:numPr>
          <w:ilvl w:val="1"/>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 xml:space="preserve">Ensuring that our culture, workplaces, and HR policy are gender-inclusive, and provide a safe and rewarding working environment to all employees on a daily basis; </w:t>
      </w:r>
    </w:p>
    <w:p w14:paraId="5280200C" w14:textId="77777777" w:rsidR="00AB1EEE" w:rsidRPr="004346A9" w:rsidRDefault="00AB1EEE" w:rsidP="00571B17">
      <w:pPr>
        <w:pStyle w:val="Paragraphedeliste"/>
        <w:numPr>
          <w:ilvl w:val="1"/>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Signing the Gender Equality Charter sponsored by France Invest/Sista. Such charter requires very specific quantitative gender balance objectives to be met by 2030 :</w:t>
      </w:r>
    </w:p>
    <w:p w14:paraId="185A4EF8" w14:textId="77777777" w:rsidR="00AB1EEE" w:rsidRPr="004346A9" w:rsidRDefault="00AB1EEE" w:rsidP="00571B17">
      <w:pPr>
        <w:pStyle w:val="Paragraphedeliste"/>
        <w:numPr>
          <w:ilvl w:val="2"/>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Increase the percentage of women having responsibility for Investment Committee decisions</w:t>
      </w:r>
    </w:p>
    <w:p w14:paraId="5B943511" w14:textId="77777777" w:rsidR="00AB1EEE" w:rsidRPr="004346A9" w:rsidRDefault="00AB1EEE" w:rsidP="00571B17">
      <w:pPr>
        <w:pStyle w:val="Paragraphedeliste"/>
        <w:numPr>
          <w:ilvl w:val="2"/>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Set a target for women to make up 40% of investment teams</w:t>
      </w:r>
    </w:p>
    <w:p w14:paraId="5FC4B71F" w14:textId="77777777" w:rsidR="00AB1EEE" w:rsidRPr="004346A9" w:rsidRDefault="00AB1EEE" w:rsidP="00571B17">
      <w:pPr>
        <w:pStyle w:val="Paragraphedeliste"/>
        <w:numPr>
          <w:ilvl w:val="2"/>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Ensure that published job offers are gender neutral and free of gender stereotypes in accordance with the regulations in force</w:t>
      </w:r>
    </w:p>
    <w:p w14:paraId="18B21A53" w14:textId="77777777" w:rsidR="00AB1EEE" w:rsidRPr="004346A9" w:rsidRDefault="00AB1EEE" w:rsidP="00571B17">
      <w:pPr>
        <w:pStyle w:val="Paragraphedeliste"/>
        <w:numPr>
          <w:ilvl w:val="2"/>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Ensure non-discriminatory recruitment and assessment practices</w:t>
      </w:r>
    </w:p>
    <w:p w14:paraId="03A89183" w14:textId="77777777" w:rsidR="00AB1EEE" w:rsidRPr="004346A9" w:rsidRDefault="00AB1EEE" w:rsidP="00571B17">
      <w:pPr>
        <w:ind w:firstLine="360"/>
        <w:rPr>
          <w:rFonts w:ascii="Source Sans Pro" w:hAnsi="Source Sans Pro"/>
          <w:lang w:val="en-US"/>
        </w:rPr>
      </w:pPr>
      <w:r w:rsidRPr="004346A9">
        <w:rPr>
          <w:rFonts w:ascii="Source Sans Pro" w:eastAsia="Source Sans Pro" w:hAnsi="Source Sans Pro" w:cs="Source Sans Pro"/>
        </w:rPr>
        <w:t>However, the objectives were met long before the signing of the charter.</w:t>
      </w:r>
    </w:p>
    <w:p w14:paraId="74E2FA45" w14:textId="77777777" w:rsidR="00AB1EEE" w:rsidRPr="004346A9" w:rsidRDefault="00AB1EEE" w:rsidP="00AB1EEE">
      <w:pPr>
        <w:pStyle w:val="Paragraphedeliste"/>
        <w:numPr>
          <w:ilvl w:val="0"/>
          <w:numId w:val="17"/>
        </w:numPr>
        <w:spacing w:line="259" w:lineRule="auto"/>
        <w:contextualSpacing/>
        <w:rPr>
          <w:rFonts w:ascii="Source Sans Pro" w:hAnsi="Source Sans Pro"/>
          <w:lang w:val="en-US"/>
        </w:rPr>
      </w:pPr>
      <w:r w:rsidRPr="004346A9">
        <w:rPr>
          <w:rFonts w:ascii="Source Sans Pro" w:eastAsia="Source Sans Pro" w:hAnsi="Source Sans Pro" w:cs="Source Sans Pro"/>
        </w:rPr>
        <w:t>Implementing a ‘No Tolerance’ policy for harassment or discrimination of any kind;</w:t>
      </w:r>
      <w:r w:rsidRPr="004346A9">
        <w:rPr>
          <w:rFonts w:ascii="Source Sans Pro" w:hAnsi="Source Sans Pro"/>
          <w:lang w:val="en-US"/>
        </w:rPr>
        <w:br/>
      </w:r>
    </w:p>
    <w:p w14:paraId="42A8254C" w14:textId="77777777" w:rsidR="00AB1EEE" w:rsidRPr="004346A9" w:rsidRDefault="00AB1EEE" w:rsidP="00571B17">
      <w:pPr>
        <w:ind w:left="360"/>
        <w:rPr>
          <w:rFonts w:ascii="Source Sans Pro" w:hAnsi="Source Sans Pro"/>
          <w:lang w:val="en-US"/>
        </w:rPr>
      </w:pPr>
      <w:r w:rsidRPr="004346A9">
        <w:rPr>
          <w:rFonts w:ascii="Source Sans Pro" w:eastAsia="Source Sans Pro" w:hAnsi="Source Sans Pro" w:cs="Source Sans Pro"/>
        </w:rPr>
        <w:t xml:space="preserve">By investing early in tomorrow’s leaders and raising the awareness of our portfolio companies to the importance of responsible investing, the Fund develop a multiplier effect in their industries. </w:t>
      </w:r>
    </w:p>
    <w:p w14:paraId="47ABB4BE" w14:textId="77777777" w:rsidR="00AB1EEE" w:rsidRPr="004346A9" w:rsidRDefault="00AB1EEE" w:rsidP="00571B17">
      <w:pPr>
        <w:ind w:left="360"/>
        <w:rPr>
          <w:rFonts w:ascii="Source Sans Pro" w:eastAsia="Source Sans Pro" w:hAnsi="Source Sans Pro" w:cs="Source Sans Pro"/>
        </w:rPr>
      </w:pPr>
      <w:r w:rsidRPr="004346A9">
        <w:rPr>
          <w:rFonts w:ascii="Source Sans Pro" w:eastAsia="Source Sans Pro" w:hAnsi="Source Sans Pro" w:cs="Source Sans Pro"/>
        </w:rPr>
        <w:t xml:space="preserve">At the level of the Fund portfolio startups, we have Integrated </w:t>
      </w:r>
      <w:r w:rsidRPr="004346A9">
        <w:rPr>
          <w:rFonts w:ascii="Source Sans Pro" w:eastAsia="Source Sans Pro" w:hAnsi="Source Sans Pro" w:cs="Source Sans Pro"/>
          <w:color w:val="000000" w:themeColor="text1"/>
        </w:rPr>
        <w:t>environmental and social</w:t>
      </w:r>
      <w:r w:rsidRPr="004346A9">
        <w:rPr>
          <w:rFonts w:ascii="Source Sans Pro" w:eastAsia="Source Sans Pro" w:hAnsi="Source Sans Pro" w:cs="Source Sans Pro"/>
          <w:b/>
          <w:bCs/>
          <w:i/>
          <w:iCs/>
          <w:color w:val="000000" w:themeColor="text1"/>
        </w:rPr>
        <w:t xml:space="preserve"> </w:t>
      </w:r>
      <w:r w:rsidRPr="004346A9">
        <w:rPr>
          <w:rFonts w:ascii="Source Sans Pro" w:eastAsia="Source Sans Pro" w:hAnsi="Source Sans Pro" w:cs="Source Sans Pro"/>
        </w:rPr>
        <w:t xml:space="preserve">from A to Z in our investment process:  </w:t>
      </w:r>
    </w:p>
    <w:p w14:paraId="2141B897" w14:textId="77777777" w:rsidR="00AB1EEE" w:rsidRPr="004346A9" w:rsidRDefault="00AB1EEE" w:rsidP="00AB1EEE">
      <w:pPr>
        <w:jc w:val="center"/>
        <w:rPr>
          <w:rFonts w:ascii="Source Sans Pro" w:hAnsi="Source Sans Pro"/>
        </w:rPr>
      </w:pPr>
      <w:r w:rsidRPr="004346A9">
        <w:rPr>
          <w:rFonts w:ascii="Source Sans Pro" w:hAnsi="Source Sans Pro"/>
          <w:noProof/>
        </w:rPr>
        <w:drawing>
          <wp:inline distT="0" distB="0" distL="0" distR="0" wp14:anchorId="5784A310" wp14:editId="167076F4">
            <wp:extent cx="4572000" cy="1800225"/>
            <wp:effectExtent l="0" t="0" r="0" b="0"/>
            <wp:docPr id="1905052274" name="Picture 1905052274"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052274" name="Picture 1905052274" descr="Une image contenant texte, capture d’écran, Polic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4572000" cy="1800225"/>
                    </a:xfrm>
                    <a:prstGeom prst="rect">
                      <a:avLst/>
                    </a:prstGeom>
                  </pic:spPr>
                </pic:pic>
              </a:graphicData>
            </a:graphic>
          </wp:inline>
        </w:drawing>
      </w:r>
    </w:p>
    <w:p w14:paraId="71532AFB" w14:textId="77777777" w:rsidR="00AB1EEE" w:rsidRPr="004346A9" w:rsidRDefault="00AB1EEE" w:rsidP="00571B17">
      <w:pPr>
        <w:pStyle w:val="Paragraphedeliste"/>
        <w:numPr>
          <w:ilvl w:val="1"/>
          <w:numId w:val="17"/>
        </w:numPr>
        <w:spacing w:line="259" w:lineRule="auto"/>
        <w:contextualSpacing/>
        <w:rPr>
          <w:rFonts w:ascii="Source Sans Pro" w:eastAsia="Source Sans Pro" w:hAnsi="Source Sans Pro" w:cs="Source Sans Pro"/>
          <w:i/>
          <w:iCs/>
          <w:color w:val="14726C"/>
        </w:rPr>
      </w:pPr>
      <w:r w:rsidRPr="004346A9">
        <w:rPr>
          <w:rFonts w:ascii="Source Sans Pro" w:eastAsia="Source Sans Pro" w:hAnsi="Source Sans Pro" w:cs="Source Sans Pro"/>
          <w:i/>
          <w:iCs/>
          <w:color w:val="14726C"/>
        </w:rPr>
        <w:t xml:space="preserve">Investment process &amp; due diligence </w:t>
      </w:r>
    </w:p>
    <w:p w14:paraId="1EA4CCE2" w14:textId="64C9B4C0" w:rsidR="00AB1EEE" w:rsidRPr="004346A9" w:rsidRDefault="00733044" w:rsidP="00571B17">
      <w:pPr>
        <w:ind w:firstLine="360"/>
        <w:rPr>
          <w:rFonts w:ascii="Source Sans Pro" w:hAnsi="Source Sans Pro"/>
          <w:lang w:val="en-US"/>
        </w:rPr>
      </w:pPr>
      <w:r>
        <w:rPr>
          <w:rFonts w:ascii="Source Sans Pro" w:eastAsia="Source Sans Pro" w:hAnsi="Source Sans Pro" w:cs="Source Sans Pro"/>
        </w:rPr>
        <w:t>MH Innov 1’</w:t>
      </w:r>
      <w:r w:rsidR="00AB1EEE" w:rsidRPr="004346A9">
        <w:rPr>
          <w:rFonts w:ascii="Source Sans Pro" w:eastAsia="Source Sans Pro" w:hAnsi="Source Sans Pro" w:cs="Source Sans Pro"/>
        </w:rPr>
        <w:t xml:space="preserve"> Fund</w:t>
      </w:r>
      <w:r w:rsidR="004346A9" w:rsidRPr="004346A9">
        <w:rPr>
          <w:rFonts w:ascii="Source Sans Pro" w:eastAsia="Source Sans Pro" w:hAnsi="Source Sans Pro" w:cs="Source Sans Pro"/>
        </w:rPr>
        <w:t>’</w:t>
      </w:r>
      <w:r w:rsidR="00AB1EEE" w:rsidRPr="004346A9">
        <w:rPr>
          <w:rFonts w:ascii="Source Sans Pro" w:eastAsia="Source Sans Pro" w:hAnsi="Source Sans Pro" w:cs="Source Sans Pro"/>
        </w:rPr>
        <w:t>s investment team analyses ESG criteria and delivers specific due diligences:</w:t>
      </w:r>
    </w:p>
    <w:p w14:paraId="3354AA95" w14:textId="77777777" w:rsidR="00AB1EEE" w:rsidRPr="004346A9" w:rsidRDefault="00AB1EEE" w:rsidP="00571B17">
      <w:pPr>
        <w:pStyle w:val="Paragraphedeliste"/>
        <w:numPr>
          <w:ilvl w:val="1"/>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lastRenderedPageBreak/>
        <w:t xml:space="preserve">External pre-investment </w:t>
      </w:r>
      <w:r w:rsidRPr="004346A9">
        <w:rPr>
          <w:rFonts w:ascii="Source Sans Pro" w:eastAsia="Source Sans Pro" w:hAnsi="Source Sans Pro" w:cs="Source Sans Pro"/>
          <w:color w:val="000000" w:themeColor="text1"/>
        </w:rPr>
        <w:t>environmental and social</w:t>
      </w:r>
      <w:r w:rsidRPr="004346A9">
        <w:rPr>
          <w:rFonts w:ascii="Source Sans Pro" w:eastAsia="Source Sans Pro" w:hAnsi="Source Sans Pro" w:cs="Source Sans Pro"/>
        </w:rPr>
        <w:t xml:space="preserve"> audit, which delivers an extra-financial scoring</w:t>
      </w:r>
    </w:p>
    <w:p w14:paraId="5220DD9C" w14:textId="77777777" w:rsidR="00AB1EEE" w:rsidRPr="004346A9" w:rsidRDefault="00AB1EEE" w:rsidP="00571B17">
      <w:pPr>
        <w:pStyle w:val="Paragraphedeliste"/>
        <w:numPr>
          <w:ilvl w:val="1"/>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 xml:space="preserve">In close relationship with the investee’s management, definition of key </w:t>
      </w:r>
      <w:r w:rsidRPr="004346A9">
        <w:rPr>
          <w:rFonts w:ascii="Source Sans Pro" w:eastAsia="Source Sans Pro" w:hAnsi="Source Sans Pro" w:cs="Source Sans Pro"/>
          <w:color w:val="000000" w:themeColor="text1"/>
        </w:rPr>
        <w:t>environmental and social</w:t>
      </w:r>
      <w:r w:rsidRPr="004346A9">
        <w:rPr>
          <w:rFonts w:ascii="Source Sans Pro" w:eastAsia="Source Sans Pro" w:hAnsi="Source Sans Pro" w:cs="Source Sans Pro"/>
        </w:rPr>
        <w:t xml:space="preserve"> indicators and objectives to be monitored by the companies (e.g., Climate and Environment Charter, </w:t>
      </w:r>
      <w:r w:rsidRPr="004346A9">
        <w:rPr>
          <w:rFonts w:ascii="Source Sans Pro" w:hAnsi="Source Sans Pro"/>
          <w:lang w:val="en-US"/>
        </w:rPr>
        <w:t xml:space="preserve">carbon footprint scope 1, 2 and 3, </w:t>
      </w:r>
      <w:r w:rsidRPr="004346A9">
        <w:rPr>
          <w:rFonts w:ascii="Source Sans Pro" w:eastAsia="Source Sans Pro" w:hAnsi="Source Sans Pro" w:cs="Source Sans Pro"/>
        </w:rPr>
        <w:t xml:space="preserve">proportion of women in the team, </w:t>
      </w:r>
      <w:r w:rsidRPr="004346A9">
        <w:rPr>
          <w:rFonts w:ascii="Source Sans Pro" w:hAnsi="Source Sans Pro"/>
          <w:lang w:val="en-US"/>
        </w:rPr>
        <w:t>precarious workers, avg. contract duration, etc.)</w:t>
      </w:r>
    </w:p>
    <w:p w14:paraId="51E28E73" w14:textId="77777777" w:rsidR="00AB1EEE" w:rsidRPr="004346A9" w:rsidRDefault="00AB1EEE" w:rsidP="00571B17">
      <w:pPr>
        <w:pStyle w:val="Paragraphedeliste"/>
        <w:numPr>
          <w:ilvl w:val="1"/>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Letter of intent and shareholders agreements raising awareness among the entrepreneurs</w:t>
      </w:r>
    </w:p>
    <w:p w14:paraId="7B7FB760" w14:textId="77777777" w:rsidR="00AB1EEE" w:rsidRPr="004346A9" w:rsidRDefault="00AB1EEE" w:rsidP="00571B17">
      <w:pPr>
        <w:pStyle w:val="Paragraphedeliste"/>
        <w:numPr>
          <w:ilvl w:val="1"/>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color w:val="000000" w:themeColor="text1"/>
        </w:rPr>
        <w:t>Environmental and social</w:t>
      </w:r>
      <w:r w:rsidRPr="004346A9">
        <w:rPr>
          <w:rFonts w:ascii="Source Sans Pro" w:eastAsia="Source Sans Pro" w:hAnsi="Source Sans Pro" w:cs="Source Sans Pro"/>
        </w:rPr>
        <w:t xml:space="preserve"> criteria integrated into decision-making by the investment committee:</w:t>
      </w:r>
    </w:p>
    <w:p w14:paraId="6DAAE9C3" w14:textId="77777777" w:rsidR="00AB1EEE" w:rsidRPr="004346A9" w:rsidRDefault="00AB1EEE" w:rsidP="00AB1EEE">
      <w:pPr>
        <w:pStyle w:val="Paragraphedeliste"/>
        <w:numPr>
          <w:ilvl w:val="1"/>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All investment notes present which of UN’s 17 SDG are positively impacted by the investment; and those that are negatively impacted</w:t>
      </w:r>
    </w:p>
    <w:p w14:paraId="50D6E2D6" w14:textId="77777777" w:rsidR="00AB1EEE" w:rsidRPr="004346A9" w:rsidRDefault="00AB1EEE" w:rsidP="00AB1EEE">
      <w:pPr>
        <w:pStyle w:val="Paragraphedeliste"/>
        <w:numPr>
          <w:ilvl w:val="1"/>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 xml:space="preserve">The investment committee is invited to score its appreciation of the </w:t>
      </w:r>
      <w:r w:rsidRPr="004346A9">
        <w:rPr>
          <w:rFonts w:ascii="Source Sans Pro" w:eastAsia="Source Sans Pro" w:hAnsi="Source Sans Pro" w:cs="Source Sans Pro"/>
          <w:color w:val="000000" w:themeColor="text1"/>
        </w:rPr>
        <w:t>environmental and social</w:t>
      </w:r>
      <w:r w:rsidRPr="004346A9">
        <w:rPr>
          <w:rFonts w:ascii="Source Sans Pro" w:eastAsia="Source Sans Pro" w:hAnsi="Source Sans Pro" w:cs="Source Sans Pro"/>
        </w:rPr>
        <w:t xml:space="preserve"> impact of the proposed investment</w:t>
      </w:r>
    </w:p>
    <w:p w14:paraId="5EC91577" w14:textId="77777777" w:rsidR="00AB1EEE" w:rsidRPr="004346A9" w:rsidRDefault="00AB1EEE" w:rsidP="00571B17">
      <w:pPr>
        <w:ind w:left="360"/>
        <w:rPr>
          <w:rFonts w:ascii="Source Sans Pro" w:hAnsi="Source Sans Pro"/>
          <w:lang w:val="en-US"/>
        </w:rPr>
      </w:pPr>
      <w:r w:rsidRPr="004346A9">
        <w:rPr>
          <w:rFonts w:ascii="Source Sans Pro" w:eastAsia="Source Sans Pro" w:hAnsi="Source Sans Pro" w:cs="Source Sans Pro"/>
        </w:rPr>
        <w:t xml:space="preserve">To help the investment team deliver relevant analyses on </w:t>
      </w:r>
      <w:r w:rsidRPr="004346A9">
        <w:rPr>
          <w:rFonts w:ascii="Source Sans Pro" w:eastAsia="Source Sans Pro" w:hAnsi="Source Sans Pro" w:cs="Source Sans Pro"/>
          <w:color w:val="000000" w:themeColor="text1"/>
        </w:rPr>
        <w:t>environmental and social</w:t>
      </w:r>
      <w:r w:rsidRPr="004346A9">
        <w:rPr>
          <w:rFonts w:ascii="Source Sans Pro" w:eastAsia="Source Sans Pro" w:hAnsi="Source Sans Pro" w:cs="Source Sans Pro"/>
        </w:rPr>
        <w:t xml:space="preserve"> criteria, specific ongoing trainings and team awareness exercises are carried out throughout the year.</w:t>
      </w:r>
    </w:p>
    <w:p w14:paraId="63495B62" w14:textId="77777777" w:rsidR="00AB1EEE" w:rsidRPr="004346A9" w:rsidRDefault="00AB1EEE" w:rsidP="00571B17">
      <w:pPr>
        <w:pStyle w:val="Paragraphedeliste"/>
        <w:numPr>
          <w:ilvl w:val="1"/>
          <w:numId w:val="17"/>
        </w:numPr>
        <w:spacing w:line="259" w:lineRule="auto"/>
        <w:contextualSpacing/>
        <w:rPr>
          <w:rFonts w:ascii="Source Sans Pro" w:eastAsia="Source Sans Pro" w:hAnsi="Source Sans Pro" w:cs="Source Sans Pro"/>
          <w:i/>
          <w:iCs/>
          <w:color w:val="14726C"/>
        </w:rPr>
      </w:pPr>
      <w:r w:rsidRPr="004346A9">
        <w:rPr>
          <w:rFonts w:ascii="Source Sans Pro" w:eastAsia="Source Sans Pro" w:hAnsi="Source Sans Pro" w:cs="Source Sans Pro"/>
          <w:i/>
          <w:iCs/>
          <w:color w:val="14726C"/>
        </w:rPr>
        <w:t xml:space="preserve">Investment journey </w:t>
      </w:r>
    </w:p>
    <w:p w14:paraId="1043A0B0" w14:textId="77777777" w:rsidR="00AB1EEE" w:rsidRPr="004346A9" w:rsidRDefault="00AB1EEE" w:rsidP="00571B17">
      <w:pPr>
        <w:ind w:left="708"/>
        <w:rPr>
          <w:rFonts w:ascii="Source Sans Pro" w:eastAsia="Source Sans Pro" w:hAnsi="Source Sans Pro" w:cs="Source Sans Pro"/>
        </w:rPr>
      </w:pPr>
      <w:r w:rsidRPr="004346A9">
        <w:rPr>
          <w:rFonts w:ascii="Source Sans Pro" w:eastAsia="Source Sans Pro" w:hAnsi="Source Sans Pro" w:cs="Source Sans Pro"/>
        </w:rPr>
        <w:t xml:space="preserve">Once the company has been invested in, a carbon footprint analysis is mandatorily allowing to fine-tune </w:t>
      </w:r>
      <w:r w:rsidRPr="004346A9">
        <w:rPr>
          <w:rFonts w:ascii="Source Sans Pro" w:eastAsia="Source Sans Pro" w:hAnsi="Source Sans Pro" w:cs="Source Sans Pro"/>
          <w:color w:val="000000" w:themeColor="text1"/>
        </w:rPr>
        <w:t xml:space="preserve">environmental </w:t>
      </w:r>
      <w:r w:rsidRPr="004346A9">
        <w:rPr>
          <w:rFonts w:ascii="Source Sans Pro" w:eastAsia="Source Sans Pro" w:hAnsi="Source Sans Pro" w:cs="Source Sans Pro"/>
        </w:rPr>
        <w:t xml:space="preserve">indicators and define action plans. On a yearly and quarterly basis, the management company has the duty to report its monitoring of metrics specific to the Company’s ESG objectives determined by the Board of Directors. </w:t>
      </w:r>
    </w:p>
    <w:p w14:paraId="0D782A80" w14:textId="77777777" w:rsidR="00AB1EEE" w:rsidRPr="004346A9" w:rsidRDefault="00AB1EEE" w:rsidP="00571B17">
      <w:pPr>
        <w:ind w:left="708"/>
        <w:rPr>
          <w:rFonts w:ascii="Source Sans Pro" w:hAnsi="Source Sans Pro"/>
          <w:lang w:val="en-US"/>
        </w:rPr>
      </w:pPr>
      <w:r w:rsidRPr="004346A9">
        <w:rPr>
          <w:rFonts w:ascii="Source Sans Pro" w:eastAsia="Source Sans Pro" w:hAnsi="Source Sans Pro" w:cs="Source Sans Pro"/>
        </w:rPr>
        <w:t xml:space="preserve">Company-specific </w:t>
      </w:r>
      <w:r w:rsidRPr="004346A9">
        <w:rPr>
          <w:rFonts w:ascii="Source Sans Pro" w:eastAsia="Source Sans Pro" w:hAnsi="Source Sans Pro" w:cs="Source Sans Pro"/>
          <w:color w:val="000000" w:themeColor="text1"/>
        </w:rPr>
        <w:t>environmental and social</w:t>
      </w:r>
      <w:r w:rsidRPr="004346A9">
        <w:rPr>
          <w:rFonts w:ascii="Source Sans Pro" w:eastAsia="Source Sans Pro" w:hAnsi="Source Sans Pro" w:cs="Source Sans Pro"/>
        </w:rPr>
        <w:t xml:space="preserve"> indicators are therefore monitored on a bi-annual basis and published in a report sent to the fund’s investors alongside the financial quarterly report.</w:t>
      </w:r>
    </w:p>
    <w:p w14:paraId="56032A92" w14:textId="77777777" w:rsidR="00AB1EEE" w:rsidRPr="004346A9" w:rsidRDefault="00AB1EEE" w:rsidP="00571B17">
      <w:pPr>
        <w:ind w:left="708"/>
        <w:rPr>
          <w:rFonts w:ascii="Source Sans Pro" w:eastAsia="Source Sans Pro" w:hAnsi="Source Sans Pro" w:cs="Source Sans Pro"/>
        </w:rPr>
      </w:pPr>
      <w:r w:rsidRPr="004346A9">
        <w:rPr>
          <w:rFonts w:ascii="Source Sans Pro" w:eastAsia="Source Sans Pro" w:hAnsi="Source Sans Pro" w:cs="Source Sans Pro"/>
        </w:rPr>
        <w:t>On an annual basis, a more extensive, and non-company specific, ESG survey is sent to all the Fund’s portfolio companies. This survey is the base for the Elaia ESG Annual Report, as well as for the report for large institutional investors who follow France Invest’s ESG indicators framework.</w:t>
      </w:r>
    </w:p>
    <w:p w14:paraId="5284F41C" w14:textId="77777777" w:rsidR="00AB1EEE" w:rsidRPr="004346A9" w:rsidRDefault="00AB1EEE" w:rsidP="00571B17">
      <w:pPr>
        <w:ind w:left="360"/>
        <w:rPr>
          <w:rFonts w:ascii="Source Sans Pro" w:eastAsia="Source Sans Pro" w:hAnsi="Source Sans Pro" w:cs="Source Sans Pro"/>
        </w:rPr>
      </w:pPr>
      <w:r w:rsidRPr="004346A9">
        <w:rPr>
          <w:rFonts w:ascii="Source Sans Pro" w:eastAsia="Source Sans Pro" w:hAnsi="Source Sans Pro" w:cs="Source Sans Pro"/>
        </w:rPr>
        <w:t xml:space="preserve">On an ad-hoc basis, it is possible to set up incentives for managers to monitor and achieve </w:t>
      </w:r>
      <w:r w:rsidRPr="004346A9">
        <w:rPr>
          <w:rFonts w:ascii="Source Sans Pro" w:eastAsia="Source Sans Pro" w:hAnsi="Source Sans Pro" w:cs="Source Sans Pro"/>
          <w:color w:val="000000" w:themeColor="text1"/>
        </w:rPr>
        <w:t>environmental and social</w:t>
      </w:r>
      <w:r w:rsidRPr="004346A9">
        <w:rPr>
          <w:rFonts w:ascii="Source Sans Pro" w:eastAsia="Source Sans Pro" w:hAnsi="Source Sans Pro" w:cs="Source Sans Pro"/>
        </w:rPr>
        <w:t xml:space="preserve"> objectives.</w:t>
      </w:r>
    </w:p>
    <w:p w14:paraId="5195C48A" w14:textId="77777777" w:rsidR="00AB1EEE" w:rsidRPr="004346A9" w:rsidRDefault="00AB1EEE" w:rsidP="00571B17">
      <w:pPr>
        <w:pStyle w:val="Paragraphedeliste"/>
        <w:numPr>
          <w:ilvl w:val="1"/>
          <w:numId w:val="17"/>
        </w:numPr>
        <w:spacing w:line="259" w:lineRule="auto"/>
        <w:contextualSpacing/>
        <w:rPr>
          <w:rFonts w:ascii="Source Sans Pro" w:eastAsia="Source Sans Pro" w:hAnsi="Source Sans Pro" w:cs="Source Sans Pro"/>
          <w:i/>
          <w:iCs/>
          <w:color w:val="14726C"/>
        </w:rPr>
      </w:pPr>
      <w:r w:rsidRPr="004346A9">
        <w:rPr>
          <w:rFonts w:ascii="Source Sans Pro" w:eastAsia="Source Sans Pro" w:hAnsi="Source Sans Pro" w:cs="Source Sans Pro"/>
          <w:i/>
          <w:iCs/>
          <w:color w:val="14726C"/>
        </w:rPr>
        <w:t>Exit</w:t>
      </w:r>
    </w:p>
    <w:p w14:paraId="79A1D153" w14:textId="77777777" w:rsidR="00AB1EEE" w:rsidRPr="004346A9" w:rsidRDefault="00AB1EEE" w:rsidP="00571B17">
      <w:pPr>
        <w:ind w:left="708"/>
        <w:rPr>
          <w:rFonts w:ascii="Source Sans Pro" w:hAnsi="Source Sans Pro"/>
          <w:lang w:val="en-US"/>
        </w:rPr>
      </w:pPr>
      <w:r w:rsidRPr="004346A9">
        <w:rPr>
          <w:rFonts w:ascii="Source Sans Pro" w:eastAsia="Source Sans Pro" w:hAnsi="Source Sans Pro" w:cs="Source Sans Pro"/>
        </w:rPr>
        <w:t>With investors inquiring more and more frequently about what the target company is doing with regards to responsible investment, how they treat employees and vendors, their dedication to sustainability initiatives, and other activities that fall under the ESG umbrella, it is important to have answers to these questions.</w:t>
      </w:r>
    </w:p>
    <w:p w14:paraId="4FE84C45" w14:textId="77777777" w:rsidR="00AB1EEE" w:rsidRPr="004346A9" w:rsidRDefault="00AB1EEE" w:rsidP="00571B17">
      <w:pPr>
        <w:ind w:left="360"/>
        <w:rPr>
          <w:rFonts w:ascii="Source Sans Pro" w:hAnsi="Source Sans Pro"/>
          <w:lang w:val="en-US"/>
        </w:rPr>
      </w:pPr>
      <w:r w:rsidRPr="004346A9">
        <w:rPr>
          <w:rFonts w:ascii="Source Sans Pro" w:eastAsia="Source Sans Pro" w:hAnsi="Source Sans Pro" w:cs="Source Sans Pro"/>
        </w:rPr>
        <w:t>Therefore, the Fund’s team is working on the establishing of a Pre-exit ESG reporting template including:</w:t>
      </w:r>
    </w:p>
    <w:p w14:paraId="1DC2DB4B" w14:textId="77777777" w:rsidR="00AB1EEE" w:rsidRPr="004346A9" w:rsidRDefault="00AB1EEE" w:rsidP="00571B17">
      <w:pPr>
        <w:pStyle w:val="Paragraphedeliste"/>
        <w:numPr>
          <w:ilvl w:val="1"/>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An assessment of how ESG has created value throughout the Fund's holding period</w:t>
      </w:r>
    </w:p>
    <w:p w14:paraId="5763991F" w14:textId="77777777" w:rsidR="00AB1EEE" w:rsidRPr="004346A9" w:rsidRDefault="00AB1EEE" w:rsidP="00571B17">
      <w:pPr>
        <w:pStyle w:val="Paragraphedeliste"/>
        <w:numPr>
          <w:ilvl w:val="1"/>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A consideration of what level of ESG reporting may be required to support the exit process. The level of disclosures will be dependent on the type of exit (i.e. IPO, trade sale, secondary buyout, carve out, etc.)</w:t>
      </w:r>
    </w:p>
    <w:p w14:paraId="6EF2A8B1" w14:textId="5611458C" w:rsidR="00AB1EEE" w:rsidRPr="004346A9" w:rsidRDefault="00AB1EEE" w:rsidP="00571B17">
      <w:pPr>
        <w:pStyle w:val="Paragraphedeliste"/>
        <w:numPr>
          <w:ilvl w:val="1"/>
          <w:numId w:val="17"/>
        </w:numPr>
        <w:spacing w:line="259" w:lineRule="auto"/>
        <w:contextualSpacing/>
        <w:rPr>
          <w:rFonts w:ascii="Source Sans Pro" w:eastAsia="Source Sans Pro" w:hAnsi="Source Sans Pro" w:cs="Source Sans Pro"/>
        </w:rPr>
      </w:pPr>
      <w:r w:rsidRPr="004346A9">
        <w:rPr>
          <w:rFonts w:ascii="Source Sans Pro" w:eastAsia="Source Sans Pro" w:hAnsi="Source Sans Pro" w:cs="Source Sans Pro"/>
        </w:rPr>
        <w:t>The need for ESG advisers to support the preparation for sale and undertaking appropriate ESG vendor due diligence</w:t>
      </w:r>
    </w:p>
    <w:p w14:paraId="5F957786" w14:textId="77777777" w:rsidR="00AB1EEE" w:rsidRPr="004346A9" w:rsidRDefault="00AB1EEE" w:rsidP="00AB1EEE">
      <w:pPr>
        <w:rPr>
          <w:rFonts w:ascii="Source Sans Pro" w:hAnsi="Source Sans Pro" w:cs="Times New Roman"/>
          <w:iCs/>
        </w:rPr>
      </w:pPr>
    </w:p>
    <w:p w14:paraId="52B2AEC5" w14:textId="77777777" w:rsidR="00AB1EEE" w:rsidRPr="004346A9" w:rsidRDefault="00AB1EEE" w:rsidP="00AB1EEE">
      <w:pPr>
        <w:rPr>
          <w:rFonts w:ascii="Source Sans Pro" w:hAnsi="Source Sans Pro" w:cs="Times New Roman"/>
          <w:iCs/>
        </w:rPr>
      </w:pPr>
    </w:p>
    <w:p w14:paraId="2BE794CF" w14:textId="3A1C0E72" w:rsidR="00AB1EEE" w:rsidRPr="004346A9" w:rsidRDefault="00AB1EEE" w:rsidP="00CF26EA">
      <w:pPr>
        <w:pStyle w:val="Paragraphedeliste"/>
        <w:numPr>
          <w:ilvl w:val="1"/>
          <w:numId w:val="16"/>
        </w:numPr>
        <w:ind w:left="1418" w:hanging="992"/>
        <w:rPr>
          <w:rFonts w:ascii="Source Sans Pro" w:hAnsi="Source Sans Pro" w:cs="Times New Roman"/>
          <w:i/>
        </w:rPr>
      </w:pPr>
      <w:r w:rsidRPr="004346A9">
        <w:rPr>
          <w:rFonts w:ascii="Source Sans Pro" w:hAnsi="Source Sans Pro" w:cs="Times New Roman"/>
          <w:i/>
        </w:rPr>
        <w:t xml:space="preserve">What sustainability indicators are used to measure the attainment of each of the environmental or social characteristics promoted by </w:t>
      </w:r>
      <w:r w:rsidR="0011751C">
        <w:rPr>
          <w:rFonts w:ascii="Source Sans Pro" w:hAnsi="Source Sans Pro" w:cs="Times New Roman"/>
          <w:i/>
        </w:rPr>
        <w:t>this financial product</w:t>
      </w:r>
    </w:p>
    <w:p w14:paraId="6E44897C" w14:textId="77777777" w:rsidR="00AB1EEE" w:rsidRPr="004346A9" w:rsidRDefault="00AB1EEE" w:rsidP="00AB1EEE">
      <w:pPr>
        <w:rPr>
          <w:rFonts w:ascii="Source Sans Pro" w:hAnsi="Source Sans Pro" w:cs="Times New Roman"/>
        </w:rPr>
      </w:pPr>
    </w:p>
    <w:p w14:paraId="369F582A" w14:textId="77777777" w:rsidR="00AB1EEE" w:rsidRPr="00571B17" w:rsidRDefault="00AB1EEE" w:rsidP="00571B17">
      <w:pPr>
        <w:ind w:left="360"/>
        <w:rPr>
          <w:rFonts w:ascii="Source Sans Pro" w:eastAsia="Source Sans Pro" w:hAnsi="Source Sans Pro" w:cs="Source Sans Pro"/>
        </w:rPr>
      </w:pPr>
      <w:r w:rsidRPr="00571B17">
        <w:rPr>
          <w:rFonts w:ascii="Source Sans Pro" w:eastAsia="Source Sans Pro" w:hAnsi="Source Sans Pro" w:cs="Source Sans Pro"/>
        </w:rPr>
        <w:t>There are no indicators for this product.</w:t>
      </w:r>
    </w:p>
    <w:p w14:paraId="714C20E6" w14:textId="77777777" w:rsidR="00AB1EEE" w:rsidRPr="004346A9" w:rsidRDefault="00AB1EEE" w:rsidP="00AB1EEE">
      <w:pPr>
        <w:rPr>
          <w:rFonts w:ascii="Source Sans Pro" w:hAnsi="Source Sans Pro" w:cs="Times New Roman"/>
        </w:rPr>
      </w:pPr>
    </w:p>
    <w:p w14:paraId="752DF6EB" w14:textId="77777777" w:rsidR="00AB1EEE" w:rsidRPr="004346A9" w:rsidRDefault="00AB1EEE" w:rsidP="00CF26EA">
      <w:pPr>
        <w:pStyle w:val="Paragraphedeliste"/>
        <w:numPr>
          <w:ilvl w:val="1"/>
          <w:numId w:val="16"/>
        </w:numPr>
        <w:ind w:left="1418" w:hanging="992"/>
        <w:rPr>
          <w:rFonts w:ascii="Source Sans Pro" w:hAnsi="Source Sans Pro" w:cs="Times New Roman"/>
          <w:i/>
        </w:rPr>
      </w:pPr>
      <w:r w:rsidRPr="004346A9">
        <w:rPr>
          <w:rFonts w:ascii="Source Sans Pro" w:hAnsi="Source Sans Pro" w:cs="Times New Roman"/>
          <w:i/>
        </w:rPr>
        <w:lastRenderedPageBreak/>
        <w:t>What are the objectives of the sustainable investments that the financial product partially intends to make and how does the sustainable investment contribute to such objectives?</w:t>
      </w:r>
    </w:p>
    <w:p w14:paraId="7F668F5A" w14:textId="14BBC90E" w:rsidR="00AB1EEE" w:rsidRPr="004346A9" w:rsidRDefault="00AB1EEE" w:rsidP="00AB1EEE">
      <w:pPr>
        <w:rPr>
          <w:rFonts w:ascii="Source Sans Pro" w:hAnsi="Source Sans Pro" w:cs="Times New Roman"/>
        </w:rPr>
      </w:pPr>
    </w:p>
    <w:p w14:paraId="6ED5B280" w14:textId="77777777" w:rsidR="00AB1EEE" w:rsidRPr="00571B17" w:rsidRDefault="00AB1EEE" w:rsidP="00571B17">
      <w:pPr>
        <w:ind w:left="360"/>
        <w:rPr>
          <w:rFonts w:ascii="Source Sans Pro" w:eastAsia="Source Sans Pro" w:hAnsi="Source Sans Pro" w:cs="Source Sans Pro"/>
        </w:rPr>
      </w:pPr>
      <w:r w:rsidRPr="00571B17">
        <w:rPr>
          <w:rFonts w:ascii="Source Sans Pro" w:eastAsia="Source Sans Pro" w:hAnsi="Source Sans Pro" w:cs="Source Sans Pro"/>
        </w:rPr>
        <w:t>None, as the product does not and will not realise any sustainable investments.</w:t>
      </w:r>
    </w:p>
    <w:p w14:paraId="754326F8" w14:textId="5A66CD40" w:rsidR="00AB1EEE" w:rsidRPr="004346A9" w:rsidRDefault="00AB1EEE" w:rsidP="00AB1EEE">
      <w:pPr>
        <w:rPr>
          <w:rFonts w:ascii="Source Sans Pro" w:hAnsi="Source Sans Pro" w:cs="Times New Roman"/>
        </w:rPr>
      </w:pPr>
      <w:r w:rsidRPr="004346A9">
        <w:rPr>
          <w:rFonts w:ascii="Source Sans Pro" w:hAnsi="Source Sans Pro"/>
          <w:noProof/>
        </w:rPr>
        <w:drawing>
          <wp:anchor distT="114300" distB="114300" distL="114300" distR="114300" simplePos="0" relativeHeight="251660288" behindDoc="1" locked="0" layoutInCell="1" hidden="0" allowOverlap="1" wp14:anchorId="5E7AF838" wp14:editId="1DDBBA30">
            <wp:simplePos x="0" y="0"/>
            <wp:positionH relativeFrom="column">
              <wp:posOffset>-47624</wp:posOffset>
            </wp:positionH>
            <wp:positionV relativeFrom="paragraph">
              <wp:posOffset>542925</wp:posOffset>
            </wp:positionV>
            <wp:extent cx="1062131" cy="447675"/>
            <wp:effectExtent l="0" t="0" r="0" b="0"/>
            <wp:wrapNone/>
            <wp:docPr id="11" name="image1.png" descr="Une image contenant thermomètre&#10;&#10;Description générée automatiquement"/>
            <wp:cNvGraphicFramePr/>
            <a:graphic xmlns:a="http://schemas.openxmlformats.org/drawingml/2006/main">
              <a:graphicData uri="http://schemas.openxmlformats.org/drawingml/2006/picture">
                <pic:pic xmlns:pic="http://schemas.openxmlformats.org/drawingml/2006/picture">
                  <pic:nvPicPr>
                    <pic:cNvPr id="11" name="image1.png" descr="Une image contenant thermomètre&#10;&#10;Description générée automatiquement"/>
                    <pic:cNvPicPr preferRelativeResize="0"/>
                  </pic:nvPicPr>
                  <pic:blipFill>
                    <a:blip r:embed="rId10"/>
                    <a:srcRect/>
                    <a:stretch>
                      <a:fillRect/>
                    </a:stretch>
                  </pic:blipFill>
                  <pic:spPr>
                    <a:xfrm>
                      <a:off x="0" y="0"/>
                      <a:ext cx="1062131" cy="447675"/>
                    </a:xfrm>
                    <a:prstGeom prst="rect">
                      <a:avLst/>
                    </a:prstGeom>
                    <a:ln/>
                  </pic:spPr>
                </pic:pic>
              </a:graphicData>
            </a:graphic>
          </wp:anchor>
        </w:drawing>
      </w:r>
    </w:p>
    <w:p w14:paraId="2C3B0110" w14:textId="64470F38" w:rsidR="00AB1EEE" w:rsidRDefault="00AB1EEE" w:rsidP="00AB1EEE">
      <w:pPr>
        <w:rPr>
          <w:rFonts w:ascii="Source Sans Pro" w:hAnsi="Source Sans Pro" w:cs="Times New Roman"/>
        </w:rPr>
      </w:pPr>
    </w:p>
    <w:p w14:paraId="638ED7BF" w14:textId="27CC3C59" w:rsidR="00A21C2F" w:rsidRPr="004346A9" w:rsidRDefault="00A21C2F" w:rsidP="00AB1EEE">
      <w:pPr>
        <w:rPr>
          <w:rFonts w:ascii="Source Sans Pro" w:hAnsi="Source Sans Pro" w:cs="Times New Roman"/>
        </w:rPr>
      </w:pPr>
      <w:r>
        <w:rPr>
          <w:rFonts w:ascii="Source Sans Pro" w:hAnsi="Source Sans Pro" w:cs="Times New Roman"/>
        </w:rPr>
        <w:br/>
      </w:r>
    </w:p>
    <w:p w14:paraId="6EA49E26" w14:textId="031CE592" w:rsidR="00AB1EEE" w:rsidRPr="004346A9" w:rsidRDefault="00D57478" w:rsidP="00AB1EEE">
      <w:pPr>
        <w:numPr>
          <w:ilvl w:val="0"/>
          <w:numId w:val="10"/>
        </w:numPr>
        <w:spacing w:after="200"/>
        <w:rPr>
          <w:rFonts w:ascii="Source Sans Pro" w:hAnsi="Source Sans Pro" w:cs="Times New Roman"/>
          <w:b/>
        </w:rPr>
      </w:pPr>
      <w:r w:rsidRPr="00974047">
        <w:rPr>
          <w:rFonts w:ascii="Calibri" w:hAnsi="Calibri" w:cs="Calibri"/>
          <w:noProof/>
          <w:sz w:val="18"/>
          <w:szCs w:val="18"/>
        </w:rPr>
        <mc:AlternateContent>
          <mc:Choice Requires="wps">
            <w:drawing>
              <wp:anchor distT="0" distB="0" distL="114300" distR="114300" simplePos="0" relativeHeight="251678720" behindDoc="0" locked="0" layoutInCell="1" allowOverlap="1" wp14:anchorId="65D14215" wp14:editId="4FA7C097">
                <wp:simplePos x="0" y="0"/>
                <wp:positionH relativeFrom="page">
                  <wp:posOffset>55880</wp:posOffset>
                </wp:positionH>
                <wp:positionV relativeFrom="page">
                  <wp:posOffset>2123808</wp:posOffset>
                </wp:positionV>
                <wp:extent cx="1018674" cy="2373630"/>
                <wp:effectExtent l="0" t="0" r="0" b="1270"/>
                <wp:wrapSquare wrapText="bothSides"/>
                <wp:docPr id="375" name="Rectangle 375"/>
                <wp:cNvGraphicFramePr/>
                <a:graphic xmlns:a="http://schemas.openxmlformats.org/drawingml/2006/main">
                  <a:graphicData uri="http://schemas.microsoft.com/office/word/2010/wordprocessingShape">
                    <wps:wsp>
                      <wps:cNvSpPr/>
                      <wps:spPr>
                        <a:xfrm>
                          <a:off x="0" y="0"/>
                          <a:ext cx="1018674" cy="2373630"/>
                        </a:xfrm>
                        <a:prstGeom prst="rect">
                          <a:avLst/>
                        </a:prstGeom>
                        <a:solidFill>
                          <a:sysClr val="window" lastClr="FFFFFF">
                            <a:lumMod val="95000"/>
                          </a:sysClr>
                        </a:solidFill>
                        <a:ln w="12700" cap="flat" cmpd="sng" algn="ctr">
                          <a:noFill/>
                          <a:prstDash val="solid"/>
                          <a:miter lim="800000"/>
                        </a:ln>
                        <a:effectLst/>
                      </wps:spPr>
                      <wps:txbx>
                        <w:txbxContent>
                          <w:p w14:paraId="439F2C29" w14:textId="77777777" w:rsidR="00A21C2F" w:rsidRPr="00A21C2F" w:rsidRDefault="00A21C2F" w:rsidP="00D21FBB">
                            <w:pPr>
                              <w:ind w:left="-142" w:right="-322"/>
                              <w:jc w:val="left"/>
                              <w:rPr>
                                <w:rFonts w:asciiTheme="minorHAnsi" w:hAnsiTheme="minorHAnsi" w:cstheme="minorHAnsi"/>
                                <w:color w:val="000000"/>
                                <w:sz w:val="18"/>
                                <w:szCs w:val="21"/>
                              </w:rPr>
                            </w:pPr>
                            <w:r w:rsidRPr="00A21C2F">
                              <w:rPr>
                                <w:rFonts w:asciiTheme="minorHAnsi" w:hAnsiTheme="minorHAnsi" w:cstheme="minorHAnsi"/>
                                <w:b/>
                                <w:bCs/>
                                <w:color w:val="000000"/>
                                <w:sz w:val="18"/>
                                <w:szCs w:val="21"/>
                              </w:rPr>
                              <w:t xml:space="preserve">Principal adverse impacts </w:t>
                            </w:r>
                            <w:r w:rsidRPr="00A21C2F">
                              <w:rPr>
                                <w:rFonts w:asciiTheme="minorHAnsi" w:hAnsiTheme="minorHAnsi" w:cstheme="minorHAnsi"/>
                                <w:color w:val="000000"/>
                                <w:sz w:val="18"/>
                                <w:szCs w:val="21"/>
                              </w:rPr>
                              <w:t>are the most significant negative impacts of investment decisions on sustainability factors relating to environmental, social and employee matters, respect for human rights, anti‐corruption and anti‐bribery matters.</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14215" id="Rectangle 375" o:spid="_x0000_s1029" style="position:absolute;left:0;text-align:left;margin-left:4.4pt;margin-top:167.25pt;width:80.2pt;height:186.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" fillcolor="#f2f2f2" stroked="f" strokeweight="1pt">
                <v:textbox inset="4mm,1mm,7mm">
                  <w:txbxContent>
                    <w:p w14:paraId="439F2C29" w14:textId="77777777" w:rsidR="00A21C2F" w:rsidRPr="00A21C2F" w:rsidRDefault="00A21C2F" w:rsidP="00D21FBB">
                      <w:pPr>
                        <w:ind w:left="-142" w:right="-322"/>
                        <w:jc w:val="left"/>
                        <w:rPr>
                          <w:rFonts w:asciiTheme="minorHAnsi" w:hAnsiTheme="minorHAnsi" w:cstheme="minorHAnsi"/>
                          <w:color w:val="000000"/>
                          <w:sz w:val="18"/>
                          <w:szCs w:val="21"/>
                        </w:rPr>
                      </w:pPr>
                      <w:r w:rsidRPr="00A21C2F">
                        <w:rPr>
                          <w:rFonts w:asciiTheme="minorHAnsi" w:hAnsiTheme="minorHAnsi" w:cstheme="minorHAnsi"/>
                          <w:b/>
                          <w:bCs/>
                          <w:color w:val="000000"/>
                          <w:sz w:val="18"/>
                          <w:szCs w:val="21"/>
                        </w:rPr>
                        <w:t xml:space="preserve">Principal adverse impacts </w:t>
                      </w:r>
                      <w:r w:rsidRPr="00A21C2F">
                        <w:rPr>
                          <w:rFonts w:asciiTheme="minorHAnsi" w:hAnsiTheme="minorHAnsi" w:cstheme="minorHAnsi"/>
                          <w:color w:val="000000"/>
                          <w:sz w:val="18"/>
                          <w:szCs w:val="21"/>
                        </w:rPr>
                        <w:t>are the most significant negative impacts of investment decisions on sustainability factors relating to environmental, social and employee matters, respect for human rights, anti‐</w:t>
                      </w:r>
                      <w:proofErr w:type="gramStart"/>
                      <w:r w:rsidRPr="00A21C2F">
                        <w:rPr>
                          <w:rFonts w:asciiTheme="minorHAnsi" w:hAnsiTheme="minorHAnsi" w:cstheme="minorHAnsi"/>
                          <w:color w:val="000000"/>
                          <w:sz w:val="18"/>
                          <w:szCs w:val="21"/>
                        </w:rPr>
                        <w:t>corruption</w:t>
                      </w:r>
                      <w:proofErr w:type="gramEnd"/>
                      <w:r w:rsidRPr="00A21C2F">
                        <w:rPr>
                          <w:rFonts w:asciiTheme="minorHAnsi" w:hAnsiTheme="minorHAnsi" w:cstheme="minorHAnsi"/>
                          <w:color w:val="000000"/>
                          <w:sz w:val="18"/>
                          <w:szCs w:val="21"/>
                        </w:rPr>
                        <w:t xml:space="preserve"> and anti‐bribery matters.</w:t>
                      </w:r>
                    </w:p>
                  </w:txbxContent>
                </v:textbox>
                <w10:wrap type="square" anchorx="page" anchory="page"/>
              </v:rect>
            </w:pict>
          </mc:Fallback>
        </mc:AlternateContent>
      </w:r>
      <w:r w:rsidR="00AB1EEE" w:rsidRPr="004346A9">
        <w:rPr>
          <w:rFonts w:ascii="Source Sans Pro" w:hAnsi="Source Sans Pro" w:cs="Times New Roman"/>
          <w:b/>
        </w:rPr>
        <w:t>How do the sustainable investments that the financial product partially intends to make, not cause significant harm to any environmental or social sustainable investment objective?</w:t>
      </w:r>
    </w:p>
    <w:p w14:paraId="015CE466" w14:textId="602225EB" w:rsidR="00AB1EEE" w:rsidRPr="004346A9" w:rsidRDefault="00AB1EEE" w:rsidP="00AB1EEE">
      <w:pPr>
        <w:rPr>
          <w:rFonts w:ascii="Source Sans Pro" w:hAnsi="Source Sans Pro"/>
        </w:rPr>
      </w:pPr>
      <w:r w:rsidRPr="004346A9">
        <w:rPr>
          <w:rFonts w:ascii="Source Sans Pro" w:hAnsi="Source Sans Pro"/>
        </w:rPr>
        <w:t>Not applicable.</w:t>
      </w:r>
    </w:p>
    <w:p w14:paraId="4DBC6FA9" w14:textId="77777777" w:rsidR="00AB1EEE" w:rsidRPr="004346A9" w:rsidRDefault="00AB1EEE" w:rsidP="00AB1EEE">
      <w:pPr>
        <w:spacing w:after="200"/>
        <w:rPr>
          <w:rFonts w:ascii="Source Sans Pro" w:hAnsi="Source Sans Pro" w:cs="Times New Roman"/>
          <w:i/>
        </w:rPr>
      </w:pPr>
    </w:p>
    <w:p w14:paraId="7DD41CF4" w14:textId="0664FCFD" w:rsidR="00AB1EEE" w:rsidRPr="004346A9" w:rsidRDefault="00AB1EEE" w:rsidP="00CF26EA">
      <w:pPr>
        <w:spacing w:after="200"/>
        <w:ind w:left="1418" w:hanging="1410"/>
        <w:rPr>
          <w:rFonts w:ascii="Source Sans Pro" w:hAnsi="Source Sans Pro" w:cs="Times New Roman"/>
          <w:i/>
        </w:rPr>
      </w:pPr>
      <w:r w:rsidRPr="004346A9">
        <w:rPr>
          <w:rFonts w:ascii="Source Sans Pro" w:hAnsi="Source Sans Pro" w:cs="Times New Roman"/>
          <w:i/>
        </w:rPr>
        <w:t>2.1.</w:t>
      </w:r>
      <w:r w:rsidRPr="004346A9">
        <w:rPr>
          <w:rFonts w:ascii="Source Sans Pro" w:hAnsi="Source Sans Pro" w:cs="Times New Roman"/>
          <w:i/>
        </w:rPr>
        <w:tab/>
        <w:t>How have the indicators for adverse impacts on sustainability factors been taken into account?</w:t>
      </w:r>
    </w:p>
    <w:p w14:paraId="4D67C6A8" w14:textId="67C1BDD5" w:rsidR="00AB1EEE" w:rsidRPr="004346A9" w:rsidRDefault="00AB1EEE" w:rsidP="00AB1EEE">
      <w:pPr>
        <w:rPr>
          <w:rFonts w:ascii="Source Sans Pro" w:hAnsi="Source Sans Pro" w:cs="Times New Roman"/>
        </w:rPr>
      </w:pPr>
    </w:p>
    <w:p w14:paraId="375E8A2A" w14:textId="2E587817" w:rsidR="00AB1EEE" w:rsidRPr="00571B17" w:rsidRDefault="00AB1EEE" w:rsidP="00571B17">
      <w:pPr>
        <w:ind w:firstLine="567"/>
        <w:rPr>
          <w:rFonts w:ascii="Source Sans Pro" w:hAnsi="Source Sans Pro"/>
        </w:rPr>
      </w:pPr>
      <w:r w:rsidRPr="00571B17">
        <w:rPr>
          <w:rFonts w:ascii="Source Sans Pro" w:hAnsi="Source Sans Pro"/>
        </w:rPr>
        <w:t>Not applicable.</w:t>
      </w:r>
    </w:p>
    <w:p w14:paraId="40E738C9" w14:textId="77777777" w:rsidR="00AB1EEE" w:rsidRPr="004346A9" w:rsidRDefault="00AB1EEE" w:rsidP="00AB1EEE">
      <w:pPr>
        <w:rPr>
          <w:rFonts w:ascii="Source Sans Pro" w:hAnsi="Source Sans Pro" w:cs="Times New Roman"/>
        </w:rPr>
      </w:pPr>
    </w:p>
    <w:p w14:paraId="017A5476" w14:textId="4284068C" w:rsidR="00AB1EEE" w:rsidRPr="004346A9" w:rsidRDefault="00AB1EEE" w:rsidP="00CF26EA">
      <w:pPr>
        <w:spacing w:after="200"/>
        <w:ind w:left="1418" w:hanging="1410"/>
        <w:rPr>
          <w:rFonts w:ascii="Source Sans Pro" w:hAnsi="Source Sans Pro" w:cs="Times New Roman"/>
          <w:i/>
        </w:rPr>
      </w:pPr>
      <w:r w:rsidRPr="004346A9">
        <w:rPr>
          <w:rFonts w:ascii="Source Sans Pro" w:hAnsi="Source Sans Pro" w:cs="Times New Roman"/>
          <w:i/>
        </w:rPr>
        <w:t>2.2.</w:t>
      </w:r>
      <w:r w:rsidRPr="004346A9">
        <w:rPr>
          <w:rFonts w:ascii="Source Sans Pro" w:hAnsi="Source Sans Pro" w:cs="Times New Roman"/>
          <w:i/>
        </w:rPr>
        <w:tab/>
        <w:t>How are the sustainable investment aligned with the OECD Guidelines for Multinational Enterprises and the UN Guiding Principles on Business and Human Rights?</w:t>
      </w:r>
      <w:r w:rsidR="0011751C">
        <w:rPr>
          <w:rFonts w:ascii="Source Sans Pro" w:hAnsi="Source Sans Pro" w:cs="Times New Roman"/>
          <w:i/>
        </w:rPr>
        <w:t xml:space="preserve"> Details:</w:t>
      </w:r>
    </w:p>
    <w:p w14:paraId="4D06D363" w14:textId="77777777" w:rsidR="00AB1EEE" w:rsidRPr="004346A9" w:rsidRDefault="00AB1EEE" w:rsidP="00AB1EEE">
      <w:pPr>
        <w:rPr>
          <w:rFonts w:ascii="Source Sans Pro" w:hAnsi="Source Sans Pro" w:cs="Times New Roman"/>
        </w:rPr>
      </w:pPr>
    </w:p>
    <w:p w14:paraId="6D289E41" w14:textId="5260E2BE" w:rsidR="00AB1EEE" w:rsidRPr="004346A9" w:rsidRDefault="00AB1EEE" w:rsidP="00571B17">
      <w:pPr>
        <w:ind w:firstLine="567"/>
        <w:rPr>
          <w:rFonts w:ascii="Source Sans Pro" w:hAnsi="Source Sans Pro" w:cs="Times New Roman"/>
        </w:rPr>
      </w:pPr>
      <w:r w:rsidRPr="004346A9">
        <w:rPr>
          <w:rFonts w:ascii="Source Sans Pro" w:hAnsi="Source Sans Pro" w:cs="Times New Roman"/>
        </w:rPr>
        <w:t xml:space="preserve">Not applicable. </w:t>
      </w:r>
    </w:p>
    <w:p w14:paraId="2D642FD8" w14:textId="77777777" w:rsidR="00AB1EEE" w:rsidRPr="004346A9" w:rsidRDefault="00AB1EEE" w:rsidP="00AB1EEE">
      <w:pPr>
        <w:rPr>
          <w:rFonts w:ascii="Source Sans Pro" w:hAnsi="Source Sans Pro" w:cs="Times New Roman"/>
        </w:rPr>
      </w:pPr>
    </w:p>
    <w:p w14:paraId="667415C2" w14:textId="001B916B" w:rsidR="00AB1EEE" w:rsidRPr="004346A9" w:rsidRDefault="00AB1EEE" w:rsidP="00AB1EEE">
      <w:pPr>
        <w:rPr>
          <w:rFonts w:ascii="Source Sans Pro" w:hAnsi="Source Sans Pro" w:cs="Times New Roman"/>
        </w:rPr>
      </w:pPr>
      <w:r w:rsidRPr="004346A9">
        <w:rPr>
          <w:rFonts w:ascii="Source Sans Pro" w:hAnsi="Source Sans Pro"/>
          <w:noProof/>
        </w:rPr>
        <w:drawing>
          <wp:anchor distT="0" distB="0" distL="114300" distR="114300" simplePos="0" relativeHeight="251671552" behindDoc="0" locked="0" layoutInCell="1" allowOverlap="1" wp14:anchorId="1CE2A9DD" wp14:editId="337BBD19">
            <wp:simplePos x="0" y="0"/>
            <wp:positionH relativeFrom="column">
              <wp:posOffset>32385</wp:posOffset>
            </wp:positionH>
            <wp:positionV relativeFrom="paragraph">
              <wp:posOffset>0</wp:posOffset>
            </wp:positionV>
            <wp:extent cx="874800" cy="446400"/>
            <wp:effectExtent l="0" t="0" r="1905" b="0"/>
            <wp:wrapNone/>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874800" cy="446400"/>
                    </a:xfrm>
                    <a:prstGeom prst="rect">
                      <a:avLst/>
                    </a:prstGeom>
                    <a:ln/>
                  </pic:spPr>
                </pic:pic>
              </a:graphicData>
            </a:graphic>
            <wp14:sizeRelH relativeFrom="margin">
              <wp14:pctWidth>0</wp14:pctWidth>
            </wp14:sizeRelH>
            <wp14:sizeRelV relativeFrom="margin">
              <wp14:pctHeight>0</wp14:pctHeight>
            </wp14:sizeRelV>
          </wp:anchor>
        </w:drawing>
      </w:r>
    </w:p>
    <w:p w14:paraId="0E7390B1" w14:textId="77777777" w:rsidR="00AB1EEE" w:rsidRPr="004346A9" w:rsidRDefault="00AB1EEE" w:rsidP="00AB1EEE">
      <w:pPr>
        <w:numPr>
          <w:ilvl w:val="0"/>
          <w:numId w:val="10"/>
        </w:numPr>
        <w:rPr>
          <w:rFonts w:ascii="Source Sans Pro" w:hAnsi="Source Sans Pro" w:cs="Times New Roman"/>
          <w:b/>
        </w:rPr>
      </w:pPr>
      <w:r w:rsidRPr="004346A9">
        <w:rPr>
          <w:rFonts w:ascii="Source Sans Pro" w:hAnsi="Source Sans Pro" w:cs="Times New Roman"/>
          <w:b/>
        </w:rPr>
        <w:t>Does this financial product consider principal adverse impacts on sustainability factors?</w:t>
      </w:r>
    </w:p>
    <w:p w14:paraId="02828848" w14:textId="08101DCB" w:rsidR="00AB1EEE" w:rsidRPr="004346A9" w:rsidRDefault="00AB1EEE" w:rsidP="00AB1EEE">
      <w:pPr>
        <w:rPr>
          <w:rFonts w:ascii="Source Sans Pro" w:hAnsi="Source Sans Pro" w:cs="Times New Roman"/>
        </w:rPr>
      </w:pPr>
    </w:p>
    <w:p w14:paraId="1D6D9766" w14:textId="77777777" w:rsidR="004346A9" w:rsidRPr="00400240" w:rsidRDefault="004346A9" w:rsidP="00571B17">
      <w:pPr>
        <w:ind w:firstLine="708"/>
        <w:rPr>
          <w:rFonts w:ascii="Source Sans Pro" w:hAnsi="Source Sans Pro"/>
          <w:bCs/>
        </w:rPr>
      </w:pPr>
      <w:r w:rsidRPr="00C211AA">
        <w:rPr>
          <w:rFonts w:ascii="Wingdings" w:eastAsia="Wingdings" w:hAnsi="Wingdings" w:cs="Wingdings"/>
          <w:b/>
          <w:lang w:val="en-US"/>
        </w:rPr>
        <w:t>þ</w:t>
      </w:r>
      <w:r w:rsidRPr="00C211AA">
        <w:rPr>
          <w:bCs/>
          <w:lang w:val="en-US"/>
        </w:rPr>
        <w:t xml:space="preserve"> </w:t>
      </w:r>
      <w:r w:rsidRPr="00C211AA">
        <w:rPr>
          <w:rFonts w:ascii="Source Sans Pro" w:hAnsi="Source Sans Pro"/>
          <w:bCs/>
          <w:lang w:val="en-US"/>
        </w:rPr>
        <w:t>Yes</w:t>
      </w:r>
      <w:r w:rsidRPr="00C211AA">
        <w:rPr>
          <w:bCs/>
          <w:lang w:val="en-US"/>
        </w:rPr>
        <w:t>,</w:t>
      </w:r>
    </w:p>
    <w:p w14:paraId="51951839" w14:textId="77777777" w:rsidR="00AB1EEE" w:rsidRPr="004346A9" w:rsidRDefault="00AB1EEE" w:rsidP="00AB1EEE">
      <w:pPr>
        <w:rPr>
          <w:rFonts w:ascii="Source Sans Pro" w:hAnsi="Source Sans Pro"/>
        </w:rPr>
      </w:pPr>
    </w:p>
    <w:p w14:paraId="7BA42B39" w14:textId="77777777" w:rsidR="004346A9" w:rsidRPr="00C211AA" w:rsidRDefault="004346A9" w:rsidP="00571B17">
      <w:pPr>
        <w:ind w:firstLine="708"/>
        <w:rPr>
          <w:rFonts w:ascii="Source Sans Pro" w:hAnsi="Source Sans Pro"/>
          <w:lang w:val="en-US"/>
        </w:rPr>
      </w:pPr>
      <w:r w:rsidRPr="00E74E22">
        <w:rPr>
          <w:rFonts w:ascii="Wingdings" w:hAnsi="Wingdings"/>
          <w:b/>
          <w:bCs/>
        </w:rPr>
        <w:t></w:t>
      </w:r>
      <w:r w:rsidRPr="00C211AA">
        <w:rPr>
          <w:rFonts w:ascii="Source Sans Pro" w:hAnsi="Source Sans Pro"/>
          <w:b/>
          <w:bCs/>
          <w:lang w:val="en-US"/>
        </w:rPr>
        <w:t xml:space="preserve"> </w:t>
      </w:r>
      <w:r w:rsidRPr="00C211AA">
        <w:rPr>
          <w:rFonts w:ascii="Source Sans Pro" w:hAnsi="Source Sans Pro"/>
          <w:lang w:val="en-US"/>
        </w:rPr>
        <w:t>No</w:t>
      </w:r>
    </w:p>
    <w:p w14:paraId="1E2F61C8" w14:textId="77777777" w:rsidR="00AB1EEE" w:rsidRPr="004346A9" w:rsidRDefault="00AB1EEE" w:rsidP="00AB1EEE">
      <w:pPr>
        <w:rPr>
          <w:rFonts w:ascii="Source Sans Pro" w:hAnsi="Source Sans Pro" w:cs="Times New Roman"/>
        </w:rPr>
      </w:pPr>
    </w:p>
    <w:p w14:paraId="69AD37C2" w14:textId="77777777" w:rsidR="00552523" w:rsidRPr="004346A9" w:rsidRDefault="00552523" w:rsidP="00571B17">
      <w:pPr>
        <w:pStyle w:val="Listemoyenne2-Accent41"/>
        <w:ind w:left="708"/>
        <w:jc w:val="both"/>
        <w:outlineLvl w:val="1"/>
        <w:rPr>
          <w:rFonts w:ascii="Source Sans Pro" w:eastAsia="Times New Roman" w:hAnsi="Source Sans Pro"/>
          <w:lang w:val="en-US"/>
        </w:rPr>
      </w:pPr>
      <w:r w:rsidRPr="004346A9">
        <w:rPr>
          <w:rFonts w:ascii="Source Sans Pro" w:eastAsia="Times New Roman" w:hAnsi="Source Sans Pro"/>
          <w:lang w:val="en-US"/>
        </w:rPr>
        <w:t>Elaia Partners has chosen to analyse the Principal Adverse Impacts on sustainability factors (“PAI") of potential investee companies during its investment process.</w:t>
      </w:r>
    </w:p>
    <w:p w14:paraId="3540EFA2" w14:textId="77777777" w:rsidR="00552523" w:rsidRPr="004346A9" w:rsidRDefault="00552523" w:rsidP="00552523">
      <w:pPr>
        <w:pStyle w:val="Listemoyenne2-Accent41"/>
        <w:ind w:left="0"/>
        <w:jc w:val="both"/>
        <w:outlineLvl w:val="1"/>
        <w:rPr>
          <w:rFonts w:ascii="Source Sans Pro" w:eastAsia="Times New Roman" w:hAnsi="Source Sans Pro"/>
          <w:lang w:val="en-US"/>
        </w:rPr>
      </w:pPr>
    </w:p>
    <w:p w14:paraId="1735F1BF" w14:textId="4DD11DD2" w:rsidR="00552523" w:rsidRPr="004346A9" w:rsidRDefault="00552523" w:rsidP="00571B17">
      <w:pPr>
        <w:pStyle w:val="Listemoyenne2-Accent41"/>
        <w:ind w:left="708"/>
        <w:jc w:val="both"/>
        <w:outlineLvl w:val="1"/>
        <w:rPr>
          <w:rFonts w:ascii="Source Sans Pro" w:eastAsia="Times New Roman" w:hAnsi="Source Sans Pro"/>
          <w:lang w:val="en-US"/>
        </w:rPr>
      </w:pPr>
      <w:r w:rsidRPr="004346A9">
        <w:rPr>
          <w:rFonts w:ascii="Source Sans Pro" w:eastAsia="Times New Roman" w:hAnsi="Source Sans Pro"/>
          <w:lang w:val="en-US"/>
        </w:rPr>
        <w:t>At management company-level for all managed funds, Elaia Partners has chosen to consider and monitor 16 indicators:</w:t>
      </w:r>
    </w:p>
    <w:p w14:paraId="0B87E257" w14:textId="77777777" w:rsidR="00552523" w:rsidRPr="004346A9" w:rsidRDefault="00552523" w:rsidP="00571B17">
      <w:pPr>
        <w:ind w:firstLine="360"/>
        <w:rPr>
          <w:rFonts w:ascii="Source Sans Pro" w:hAnsi="Source Sans Pro"/>
          <w:lang w:val="en-US"/>
        </w:rPr>
      </w:pPr>
      <w:r w:rsidRPr="004346A9">
        <w:rPr>
          <w:rFonts w:ascii="Source Sans Pro" w:hAnsi="Source Sans Pro"/>
          <w:lang w:val="en-US"/>
        </w:rPr>
        <w:t xml:space="preserve">Climate and other environment indicators: </w:t>
      </w:r>
    </w:p>
    <w:p w14:paraId="7702CEB0" w14:textId="77777777" w:rsidR="00552523" w:rsidRPr="004346A9" w:rsidRDefault="00552523" w:rsidP="00552523">
      <w:pPr>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Source Sans Pro" w:hAnsi="Source Sans Pro" w:cs="Times New Roman"/>
          <w:lang w:val="en-US"/>
        </w:rPr>
      </w:pPr>
      <w:r w:rsidRPr="004346A9">
        <w:rPr>
          <w:rFonts w:ascii="Source Sans Pro" w:hAnsi="Source Sans Pro" w:cs="Times New Roman"/>
          <w:lang w:val="en-US"/>
        </w:rPr>
        <w:t>GH</w:t>
      </w:r>
      <w:r w:rsidRPr="004346A9">
        <w:rPr>
          <w:rFonts w:ascii="Source Sans Pro" w:hAnsi="Source Sans Pro"/>
          <w:lang w:val="en-US"/>
        </w:rPr>
        <w:t>G</w:t>
      </w:r>
      <w:r w:rsidRPr="004346A9">
        <w:rPr>
          <w:rFonts w:ascii="Source Sans Pro" w:hAnsi="Source Sans Pro" w:cs="Times New Roman"/>
          <w:lang w:val="en-US"/>
        </w:rPr>
        <w:t xml:space="preserve"> Emissions (Scope 1,2,3 &amp; Total)</w:t>
      </w:r>
    </w:p>
    <w:p w14:paraId="41C020C9" w14:textId="77777777" w:rsidR="00552523" w:rsidRPr="004346A9" w:rsidRDefault="00552523" w:rsidP="00552523">
      <w:pPr>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Source Sans Pro" w:hAnsi="Source Sans Pro" w:cs="Times New Roman"/>
          <w:lang w:val="en-US"/>
        </w:rPr>
      </w:pPr>
      <w:r w:rsidRPr="004346A9">
        <w:rPr>
          <w:rFonts w:ascii="Source Sans Pro" w:hAnsi="Source Sans Pro" w:cs="Times New Roman"/>
          <w:lang w:val="en-US"/>
        </w:rPr>
        <w:t>Carbon Footprint</w:t>
      </w:r>
    </w:p>
    <w:p w14:paraId="02B699C3" w14:textId="77777777" w:rsidR="00552523" w:rsidRPr="004346A9" w:rsidRDefault="00552523" w:rsidP="00552523">
      <w:pPr>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Source Sans Pro" w:hAnsi="Source Sans Pro" w:cs="Times New Roman"/>
          <w:lang w:val="en-US"/>
        </w:rPr>
      </w:pPr>
      <w:r w:rsidRPr="004346A9">
        <w:rPr>
          <w:rFonts w:ascii="Source Sans Pro" w:hAnsi="Source Sans Pro" w:cs="Times New Roman"/>
          <w:lang w:val="en-US"/>
        </w:rPr>
        <w:t>GHG Intensity</w:t>
      </w:r>
    </w:p>
    <w:p w14:paraId="3235800B" w14:textId="77777777" w:rsidR="00552523" w:rsidRPr="004346A9" w:rsidRDefault="00552523" w:rsidP="00552523">
      <w:pPr>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Source Sans Pro" w:hAnsi="Source Sans Pro" w:cs="Times New Roman"/>
          <w:lang w:val="en-US"/>
        </w:rPr>
      </w:pPr>
      <w:r w:rsidRPr="004346A9">
        <w:rPr>
          <w:rFonts w:ascii="Source Sans Pro" w:hAnsi="Source Sans Pro" w:cs="Times New Roman"/>
          <w:lang w:val="en-US"/>
        </w:rPr>
        <w:t>Fossil fuel sector</w:t>
      </w:r>
    </w:p>
    <w:p w14:paraId="497DF44C" w14:textId="77777777" w:rsidR="00552523" w:rsidRPr="004346A9" w:rsidRDefault="00552523" w:rsidP="00552523">
      <w:pPr>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Source Sans Pro" w:hAnsi="Source Sans Pro" w:cs="Times New Roman"/>
          <w:lang w:val="en-US"/>
        </w:rPr>
      </w:pPr>
      <w:r w:rsidRPr="004346A9">
        <w:rPr>
          <w:rFonts w:ascii="Source Sans Pro" w:hAnsi="Source Sans Pro" w:cs="Times New Roman"/>
          <w:lang w:val="en-US"/>
        </w:rPr>
        <w:t>Non-renewable energy consumption and production</w:t>
      </w:r>
    </w:p>
    <w:p w14:paraId="0011F156" w14:textId="77777777" w:rsidR="00552523" w:rsidRPr="004346A9" w:rsidRDefault="00552523" w:rsidP="00552523">
      <w:pPr>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Source Sans Pro" w:hAnsi="Source Sans Pro" w:cs="Times New Roman"/>
          <w:lang w:val="en-US"/>
        </w:rPr>
      </w:pPr>
      <w:r w:rsidRPr="004346A9">
        <w:rPr>
          <w:rFonts w:ascii="Source Sans Pro" w:hAnsi="Source Sans Pro" w:cs="Times New Roman"/>
          <w:lang w:val="en-US"/>
        </w:rPr>
        <w:t>Energy consumption intensity per high climate</w:t>
      </w:r>
      <w:r w:rsidRPr="004346A9">
        <w:rPr>
          <w:rFonts w:ascii="Source Sans Pro" w:hAnsi="Source Sans Pro"/>
          <w:lang w:val="en-US"/>
        </w:rPr>
        <w:t xml:space="preserve"> </w:t>
      </w:r>
      <w:r w:rsidRPr="004346A9">
        <w:rPr>
          <w:rFonts w:ascii="Source Sans Pro" w:hAnsi="Source Sans Pro" w:cs="Times New Roman"/>
          <w:lang w:val="en-US"/>
        </w:rPr>
        <w:t>impact sector</w:t>
      </w:r>
    </w:p>
    <w:p w14:paraId="4B642F08" w14:textId="77777777" w:rsidR="00552523" w:rsidRPr="004346A9" w:rsidRDefault="00552523" w:rsidP="00552523">
      <w:pPr>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Source Sans Pro" w:hAnsi="Source Sans Pro" w:cs="Times New Roman"/>
          <w:lang w:val="en-US"/>
        </w:rPr>
      </w:pPr>
      <w:r w:rsidRPr="004346A9">
        <w:rPr>
          <w:rFonts w:ascii="Source Sans Pro" w:hAnsi="Source Sans Pro" w:cs="Times New Roman"/>
          <w:lang w:val="en-US"/>
        </w:rPr>
        <w:t>Biodiversity sensitive areas</w:t>
      </w:r>
    </w:p>
    <w:p w14:paraId="5D6D27FD" w14:textId="77777777" w:rsidR="00552523" w:rsidRPr="004346A9" w:rsidRDefault="00552523" w:rsidP="00552523">
      <w:pPr>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Source Sans Pro" w:hAnsi="Source Sans Pro"/>
          <w:lang w:val="en-US"/>
        </w:rPr>
      </w:pPr>
      <w:r w:rsidRPr="004346A9">
        <w:rPr>
          <w:rFonts w:ascii="Source Sans Pro" w:hAnsi="Source Sans Pro"/>
          <w:lang w:val="en-US"/>
        </w:rPr>
        <w:t>W</w:t>
      </w:r>
      <w:r w:rsidRPr="004346A9">
        <w:rPr>
          <w:rFonts w:ascii="Source Sans Pro" w:hAnsi="Source Sans Pro" w:cs="Times New Roman"/>
          <w:lang w:val="en-US"/>
        </w:rPr>
        <w:t>ater</w:t>
      </w:r>
      <w:r w:rsidRPr="004346A9">
        <w:rPr>
          <w:rFonts w:ascii="Source Sans Pro" w:hAnsi="Source Sans Pro"/>
          <w:lang w:val="en-US"/>
        </w:rPr>
        <w:t xml:space="preserve"> consumption</w:t>
      </w:r>
    </w:p>
    <w:p w14:paraId="3FA3F378" w14:textId="77777777" w:rsidR="00552523" w:rsidRPr="004346A9" w:rsidRDefault="00552523" w:rsidP="00552523">
      <w:pPr>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Source Sans Pro" w:hAnsi="Source Sans Pro"/>
          <w:lang w:val="en-US"/>
        </w:rPr>
      </w:pPr>
      <w:r w:rsidRPr="004346A9">
        <w:rPr>
          <w:rFonts w:ascii="Source Sans Pro" w:hAnsi="Source Sans Pro" w:cs="Times New Roman"/>
          <w:lang w:val="en-US"/>
        </w:rPr>
        <w:t>Hazardous waste ratio</w:t>
      </w:r>
    </w:p>
    <w:p w14:paraId="3119DC22" w14:textId="66AEF5F3" w:rsidR="00552523" w:rsidRPr="004346A9" w:rsidRDefault="00552523" w:rsidP="00552523">
      <w:pPr>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Source Sans Pro" w:hAnsi="Source Sans Pro"/>
          <w:lang w:val="en-US"/>
        </w:rPr>
      </w:pPr>
      <w:r w:rsidRPr="004346A9">
        <w:rPr>
          <w:rFonts w:ascii="Source Sans Pro" w:hAnsi="Source Sans Pro"/>
          <w:lang w:val="en-US"/>
        </w:rPr>
        <w:lastRenderedPageBreak/>
        <w:t xml:space="preserve">Existence of carbon emission reduction initiatives </w:t>
      </w:r>
    </w:p>
    <w:p w14:paraId="0FC02547" w14:textId="77777777" w:rsidR="00552523" w:rsidRPr="004346A9" w:rsidRDefault="00552523" w:rsidP="005525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Source Sans Pro" w:hAnsi="Source Sans Pro" w:cs="Times New Roman"/>
          <w:highlight w:val="yellow"/>
          <w:lang w:val="en-US"/>
        </w:rPr>
      </w:pPr>
    </w:p>
    <w:p w14:paraId="5962D0BC" w14:textId="77777777" w:rsidR="00552523" w:rsidRPr="004346A9" w:rsidRDefault="00552523" w:rsidP="00571B17">
      <w:pPr>
        <w:ind w:firstLine="560"/>
        <w:rPr>
          <w:rFonts w:ascii="Source Sans Pro" w:hAnsi="Source Sans Pro" w:cs="Times New Roman"/>
          <w:lang w:val="en-US"/>
        </w:rPr>
      </w:pPr>
      <w:r w:rsidRPr="004346A9">
        <w:rPr>
          <w:rFonts w:ascii="Source Sans Pro" w:hAnsi="Source Sans Pro" w:cs="Times New Roman"/>
          <w:lang w:val="en-US"/>
        </w:rPr>
        <w:t>Social and governance indicators</w:t>
      </w:r>
    </w:p>
    <w:p w14:paraId="3EEEA220" w14:textId="77777777" w:rsidR="00552523" w:rsidRPr="004346A9" w:rsidRDefault="00552523" w:rsidP="00552523">
      <w:pPr>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Source Sans Pro" w:hAnsi="Source Sans Pro" w:cs="Times New Roman"/>
          <w:lang w:val="en-US"/>
        </w:rPr>
      </w:pPr>
      <w:r w:rsidRPr="004346A9">
        <w:rPr>
          <w:rFonts w:ascii="Source Sans Pro" w:hAnsi="Source Sans Pro" w:cs="Times New Roman"/>
          <w:lang w:val="en-US"/>
        </w:rPr>
        <w:t>Violations of UN Global Compact principles and OECD Guidelines</w:t>
      </w:r>
    </w:p>
    <w:p w14:paraId="63CE79B1" w14:textId="77777777" w:rsidR="00552523" w:rsidRPr="004346A9" w:rsidRDefault="00552523" w:rsidP="00552523">
      <w:pPr>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Source Sans Pro" w:hAnsi="Source Sans Pro" w:cs="Times New Roman"/>
          <w:lang w:val="en-US"/>
        </w:rPr>
      </w:pPr>
      <w:r w:rsidRPr="004346A9">
        <w:rPr>
          <w:rFonts w:ascii="Source Sans Pro" w:hAnsi="Source Sans Pro" w:cs="Times New Roman"/>
          <w:lang w:val="en-US"/>
        </w:rPr>
        <w:t>Lack of processes and compliance mechanisms to monitor compliance with UN Global Compact principles and</w:t>
      </w:r>
      <w:r w:rsidRPr="004346A9">
        <w:rPr>
          <w:rFonts w:ascii="MS Gothic" w:eastAsia="MS Gothic" w:hAnsi="MS Gothic" w:cs="MS Gothic" w:hint="eastAsia"/>
          <w:lang w:val="en-US"/>
        </w:rPr>
        <w:t> </w:t>
      </w:r>
      <w:r w:rsidRPr="004346A9">
        <w:rPr>
          <w:rFonts w:ascii="Source Sans Pro" w:hAnsi="Source Sans Pro" w:cs="Times New Roman"/>
          <w:lang w:val="en-US"/>
        </w:rPr>
        <w:t>OECD Guidelines</w:t>
      </w:r>
    </w:p>
    <w:p w14:paraId="031F73DD" w14:textId="77777777" w:rsidR="00552523" w:rsidRPr="004346A9" w:rsidRDefault="00552523" w:rsidP="00552523">
      <w:pPr>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Source Sans Pro" w:hAnsi="Source Sans Pro" w:cs="Times New Roman"/>
          <w:lang w:val="en-US"/>
        </w:rPr>
      </w:pPr>
      <w:r w:rsidRPr="004346A9">
        <w:rPr>
          <w:rFonts w:ascii="Source Sans Pro" w:hAnsi="Source Sans Pro" w:cs="Times New Roman"/>
          <w:lang w:val="en-US"/>
        </w:rPr>
        <w:t>Gender pay gap</w:t>
      </w:r>
    </w:p>
    <w:p w14:paraId="68ACA2B9" w14:textId="77777777" w:rsidR="00552523" w:rsidRPr="004346A9" w:rsidRDefault="00552523" w:rsidP="00552523">
      <w:pPr>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Source Sans Pro" w:hAnsi="Source Sans Pro" w:cs="Times New Roman"/>
          <w:lang w:val="en-US"/>
        </w:rPr>
      </w:pPr>
      <w:r w:rsidRPr="004346A9">
        <w:rPr>
          <w:rFonts w:ascii="Source Sans Pro" w:hAnsi="Source Sans Pro" w:cs="Times New Roman"/>
          <w:lang w:val="en-US"/>
        </w:rPr>
        <w:t>Board gender diversity</w:t>
      </w:r>
    </w:p>
    <w:p w14:paraId="41EB9150" w14:textId="77777777" w:rsidR="00552523" w:rsidRPr="004346A9" w:rsidRDefault="00552523" w:rsidP="00552523">
      <w:pPr>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Source Sans Pro" w:hAnsi="Source Sans Pro"/>
          <w:lang w:val="en-US"/>
        </w:rPr>
      </w:pPr>
      <w:r w:rsidRPr="004346A9">
        <w:rPr>
          <w:rFonts w:ascii="Source Sans Pro" w:hAnsi="Source Sans Pro" w:cs="Times New Roman"/>
          <w:lang w:val="en-US"/>
        </w:rPr>
        <w:t>Exposure to controversial weapons</w:t>
      </w:r>
    </w:p>
    <w:p w14:paraId="3B245659" w14:textId="6DA1576B" w:rsidR="00552523" w:rsidRPr="004346A9" w:rsidRDefault="00552523" w:rsidP="00552523">
      <w:pPr>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Source Sans Pro" w:hAnsi="Source Sans Pro"/>
          <w:lang w:val="en-US"/>
        </w:rPr>
      </w:pPr>
      <w:r w:rsidRPr="004346A9">
        <w:rPr>
          <w:rFonts w:ascii="Source Sans Pro" w:hAnsi="Source Sans Pro"/>
          <w:lang w:val="en-US"/>
        </w:rPr>
        <w:t xml:space="preserve">Existence of workplace accident prevention policies </w:t>
      </w:r>
    </w:p>
    <w:p w14:paraId="7FB5B2AC" w14:textId="77777777" w:rsidR="00552523" w:rsidRPr="004346A9" w:rsidRDefault="00552523" w:rsidP="00552523">
      <w:pPr>
        <w:pStyle w:val="Listemoyenne2-Accent41"/>
        <w:ind w:left="0"/>
        <w:jc w:val="both"/>
        <w:outlineLvl w:val="1"/>
        <w:rPr>
          <w:rFonts w:ascii="Source Sans Pro" w:eastAsia="Times New Roman" w:hAnsi="Source Sans Pro"/>
          <w:lang w:val="en-US"/>
        </w:rPr>
      </w:pPr>
    </w:p>
    <w:p w14:paraId="78945B67" w14:textId="77777777" w:rsidR="00552523" w:rsidRPr="004346A9" w:rsidRDefault="00552523" w:rsidP="00571B17">
      <w:pPr>
        <w:pStyle w:val="Listemoyenne2-Accent41"/>
        <w:ind w:left="560"/>
        <w:jc w:val="both"/>
        <w:outlineLvl w:val="1"/>
        <w:rPr>
          <w:rFonts w:ascii="Source Sans Pro" w:eastAsia="Times New Roman" w:hAnsi="Source Sans Pro"/>
          <w:lang w:val="en-US"/>
        </w:rPr>
      </w:pPr>
      <w:r w:rsidRPr="004346A9">
        <w:rPr>
          <w:rFonts w:ascii="Source Sans Pro" w:eastAsia="Times New Roman" w:hAnsi="Source Sans Pro"/>
          <w:lang w:val="en-US"/>
        </w:rPr>
        <w:t>A specific ESG due diligence is carried out for each potential investee company, which allows to conclude if any indicator, other than the 16 indicators above, is relevant to the company.</w:t>
      </w:r>
    </w:p>
    <w:p w14:paraId="6E838669" w14:textId="77777777" w:rsidR="00552523" w:rsidRPr="004346A9" w:rsidRDefault="00552523" w:rsidP="00552523">
      <w:pPr>
        <w:pStyle w:val="Listemoyenne2-Accent41"/>
        <w:ind w:left="0"/>
        <w:jc w:val="both"/>
        <w:outlineLvl w:val="1"/>
        <w:rPr>
          <w:rFonts w:ascii="Source Sans Pro" w:eastAsia="Times New Roman" w:hAnsi="Source Sans Pro"/>
          <w:lang w:val="en-US"/>
        </w:rPr>
      </w:pPr>
    </w:p>
    <w:p w14:paraId="46C85E0F" w14:textId="77777777" w:rsidR="00552523" w:rsidRPr="004346A9" w:rsidRDefault="00552523" w:rsidP="00571B17">
      <w:pPr>
        <w:pStyle w:val="Listemoyenne2-Accent41"/>
        <w:ind w:left="560"/>
        <w:jc w:val="both"/>
        <w:outlineLvl w:val="1"/>
        <w:rPr>
          <w:rFonts w:ascii="Source Sans Pro" w:eastAsia="Times New Roman" w:hAnsi="Source Sans Pro"/>
          <w:lang w:val="en-US"/>
        </w:rPr>
      </w:pPr>
      <w:r w:rsidRPr="004346A9">
        <w:rPr>
          <w:rFonts w:ascii="Source Sans Pro" w:eastAsia="Times New Roman" w:hAnsi="Source Sans Pro"/>
          <w:lang w:val="en-US"/>
        </w:rPr>
        <w:t>The due diligence results in an evaluation table listing each PAI, allowing to assess qualitatively the  risk exposure, the vulnerability and financial impact of the PAI. Furthermore, the analysis concludes with associated actions aimed to reduce the PAI and their financial impact.</w:t>
      </w:r>
    </w:p>
    <w:p w14:paraId="0FCD3F4B" w14:textId="77777777" w:rsidR="00552523" w:rsidRPr="004346A9" w:rsidRDefault="00552523" w:rsidP="00571B17">
      <w:pPr>
        <w:ind w:left="560"/>
        <w:rPr>
          <w:rFonts w:ascii="Source Sans Pro" w:hAnsi="Source Sans Pro"/>
          <w:lang w:val="en-US"/>
        </w:rPr>
      </w:pPr>
      <w:r w:rsidRPr="004346A9">
        <w:rPr>
          <w:rFonts w:ascii="Source Sans Pro" w:hAnsi="Source Sans Pro"/>
          <w:lang w:val="en-US"/>
        </w:rPr>
        <w:t>Elaia Partners publishes, on its website, a Statement to this effect, in compliance with Article 11, and Annex 1 of the regulatory technical standards, of the Regulation (EU) 2019/2088, for each fiscal year, starting on 2023, with reference period of fiscal year 2022.</w:t>
      </w:r>
    </w:p>
    <w:p w14:paraId="3F035F4F" w14:textId="6C6B62DF" w:rsidR="00AB1EEE" w:rsidRPr="004346A9" w:rsidRDefault="00AB1EEE" w:rsidP="00AB1EEE">
      <w:pPr>
        <w:rPr>
          <w:rFonts w:ascii="Source Sans Pro" w:hAnsi="Source Sans Pro" w:cs="Times New Roman"/>
        </w:rPr>
      </w:pPr>
    </w:p>
    <w:p w14:paraId="7F6C376E" w14:textId="586E3522" w:rsidR="00AB1EEE" w:rsidRPr="004346A9" w:rsidRDefault="00AB1EEE" w:rsidP="00571B17">
      <w:pPr>
        <w:ind w:left="560"/>
        <w:rPr>
          <w:rFonts w:ascii="Source Sans Pro" w:hAnsi="Source Sans Pro"/>
          <w:lang w:val="en-US"/>
        </w:rPr>
      </w:pPr>
      <w:r w:rsidRPr="004346A9">
        <w:rPr>
          <w:rFonts w:ascii="Source Sans Pro" w:hAnsi="Source Sans Pro"/>
          <w:lang w:val="en-US"/>
        </w:rPr>
        <w:t>A more detailed description of how main adverse impacts are incorporated into the investment process can be found in the Management Company’s ESG policy, available on its website.</w:t>
      </w:r>
    </w:p>
    <w:p w14:paraId="75978014" w14:textId="08F73469" w:rsidR="00AB1EEE" w:rsidRPr="004346A9" w:rsidRDefault="004346A9" w:rsidP="00AB1EEE">
      <w:pPr>
        <w:rPr>
          <w:rFonts w:ascii="Source Sans Pro" w:hAnsi="Source Sans Pro" w:cs="Times New Roman"/>
        </w:rPr>
      </w:pPr>
      <w:r w:rsidRPr="004346A9">
        <w:rPr>
          <w:rFonts w:ascii="Source Sans Pro" w:hAnsi="Source Sans Pro"/>
          <w:noProof/>
        </w:rPr>
        <w:drawing>
          <wp:anchor distT="0" distB="0" distL="114300" distR="114300" simplePos="0" relativeHeight="251670528" behindDoc="0" locked="0" layoutInCell="1" allowOverlap="1" wp14:anchorId="65C40F29" wp14:editId="03E7B284">
            <wp:simplePos x="0" y="0"/>
            <wp:positionH relativeFrom="column">
              <wp:posOffset>0</wp:posOffset>
            </wp:positionH>
            <wp:positionV relativeFrom="paragraph">
              <wp:posOffset>84323</wp:posOffset>
            </wp:positionV>
            <wp:extent cx="1343025" cy="719455"/>
            <wp:effectExtent l="0" t="0" r="9525" b="4445"/>
            <wp:wrapSquare wrapText="bothSides"/>
            <wp:docPr id="1734237093" name="Image 1734237093"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diagramme&#10;&#10;Description générée automatiquement"/>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02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968B0" w14:textId="19216563" w:rsidR="00AB1EEE" w:rsidRPr="004346A9" w:rsidRDefault="00AB1EEE" w:rsidP="00AB1EEE">
      <w:pPr>
        <w:rPr>
          <w:rFonts w:ascii="Source Sans Pro" w:hAnsi="Source Sans Pro" w:cs="Times New Roman"/>
        </w:rPr>
      </w:pPr>
    </w:p>
    <w:p w14:paraId="79D217A7" w14:textId="0A6A1B84" w:rsidR="00AB1EEE" w:rsidRPr="004346A9" w:rsidRDefault="00AB1EEE" w:rsidP="00AB1EEE">
      <w:pPr>
        <w:numPr>
          <w:ilvl w:val="3"/>
          <w:numId w:val="4"/>
        </w:numPr>
        <w:ind w:left="567"/>
        <w:rPr>
          <w:rFonts w:ascii="Source Sans Pro" w:hAnsi="Source Sans Pro" w:cs="Times New Roman"/>
        </w:rPr>
      </w:pPr>
      <w:r w:rsidRPr="004346A9">
        <w:rPr>
          <w:rFonts w:ascii="Source Sans Pro" w:hAnsi="Source Sans Pro" w:cs="Times New Roman"/>
          <w:b/>
        </w:rPr>
        <w:t>What investment strategy does this financial product follow?</w:t>
      </w:r>
    </w:p>
    <w:p w14:paraId="0BE25B35" w14:textId="76EE5784" w:rsidR="00AB1EEE" w:rsidRPr="004346A9" w:rsidRDefault="00AB1EEE" w:rsidP="00AB1EEE">
      <w:pPr>
        <w:rPr>
          <w:rFonts w:ascii="Source Sans Pro" w:hAnsi="Source Sans Pro" w:cs="Times New Roman"/>
        </w:rPr>
      </w:pPr>
    </w:p>
    <w:p w14:paraId="05D1A559" w14:textId="7C4A4B9B" w:rsidR="00AB1EEE" w:rsidRPr="004346A9" w:rsidRDefault="00AB1EEE" w:rsidP="00AB1EEE">
      <w:pPr>
        <w:rPr>
          <w:rFonts w:ascii="Source Sans Pro" w:hAnsi="Source Sans Pro" w:cs="Times New Roman"/>
          <w:b/>
        </w:rPr>
      </w:pPr>
    </w:p>
    <w:p w14:paraId="43E14EB1" w14:textId="6EBD08BC" w:rsidR="00AB1EEE" w:rsidRPr="004346A9" w:rsidRDefault="00571B17" w:rsidP="00AB1EEE">
      <w:pPr>
        <w:rPr>
          <w:rFonts w:ascii="Source Sans Pro" w:hAnsi="Source Sans Pro" w:cs="Times New Roman"/>
          <w:b/>
        </w:rPr>
      </w:pPr>
      <w:r w:rsidRPr="003A1C01">
        <w:rPr>
          <w:rFonts w:ascii="Calibri" w:eastAsia="Calibri" w:hAnsi="Calibri"/>
          <w:noProof/>
          <w:sz w:val="18"/>
          <w:szCs w:val="18"/>
        </w:rPr>
        <mc:AlternateContent>
          <mc:Choice Requires="wps">
            <w:drawing>
              <wp:anchor distT="0" distB="0" distL="114300" distR="114300" simplePos="0" relativeHeight="251680768" behindDoc="0" locked="0" layoutInCell="1" allowOverlap="1" wp14:anchorId="4E5684BB" wp14:editId="14920CB7">
                <wp:simplePos x="0" y="0"/>
                <wp:positionH relativeFrom="page">
                  <wp:posOffset>40005</wp:posOffset>
                </wp:positionH>
                <wp:positionV relativeFrom="page">
                  <wp:posOffset>6071536</wp:posOffset>
                </wp:positionV>
                <wp:extent cx="1034716" cy="1178560"/>
                <wp:effectExtent l="0" t="0" r="0" b="2540"/>
                <wp:wrapSquare wrapText="bothSides"/>
                <wp:docPr id="26" name="Rectangle 26"/>
                <wp:cNvGraphicFramePr/>
                <a:graphic xmlns:a="http://schemas.openxmlformats.org/drawingml/2006/main">
                  <a:graphicData uri="http://schemas.microsoft.com/office/word/2010/wordprocessingShape">
                    <wps:wsp>
                      <wps:cNvSpPr/>
                      <wps:spPr>
                        <a:xfrm>
                          <a:off x="0" y="0"/>
                          <a:ext cx="1034716" cy="1178560"/>
                        </a:xfrm>
                        <a:prstGeom prst="rect">
                          <a:avLst/>
                        </a:prstGeom>
                        <a:solidFill>
                          <a:sysClr val="window" lastClr="FFFFFF">
                            <a:lumMod val="95000"/>
                          </a:sysClr>
                        </a:solidFill>
                        <a:ln w="12700" cap="flat" cmpd="sng" algn="ctr">
                          <a:noFill/>
                          <a:prstDash val="solid"/>
                          <a:miter lim="800000"/>
                        </a:ln>
                        <a:effectLst/>
                      </wps:spPr>
                      <wps:txbx>
                        <w:txbxContent>
                          <w:p w14:paraId="246A239D" w14:textId="77777777" w:rsidR="00A21C2F" w:rsidRPr="00A21C2F" w:rsidRDefault="00A21C2F" w:rsidP="00A21C2F">
                            <w:pPr>
                              <w:ind w:left="-142" w:right="-258"/>
                              <w:rPr>
                                <w:rFonts w:asciiTheme="minorHAnsi" w:hAnsiTheme="minorHAnsi" w:cstheme="minorHAnsi"/>
                                <w:b/>
                                <w:bCs/>
                                <w:color w:val="000000"/>
                                <w:sz w:val="18"/>
                                <w:szCs w:val="21"/>
                              </w:rPr>
                            </w:pPr>
                            <w:r w:rsidRPr="00A21C2F">
                              <w:rPr>
                                <w:rFonts w:asciiTheme="minorHAnsi" w:hAnsiTheme="minorHAnsi" w:cstheme="minorHAnsi"/>
                                <w:b/>
                                <w:bCs/>
                                <w:color w:val="000000"/>
                                <w:sz w:val="18"/>
                                <w:szCs w:val="21"/>
                              </w:rPr>
                              <w:t xml:space="preserve">The investment strategy </w:t>
                            </w:r>
                            <w:r w:rsidRPr="00A21C2F">
                              <w:rPr>
                                <w:rFonts w:asciiTheme="minorHAnsi" w:hAnsiTheme="minorHAnsi" w:cstheme="minorHAnsi"/>
                                <w:bCs/>
                                <w:color w:val="000000"/>
                                <w:sz w:val="18"/>
                                <w:szCs w:val="21"/>
                              </w:rPr>
                              <w:t>guides investment decisions based on factors such as investment objectives and risk tolerance.</w:t>
                            </w:r>
                          </w:p>
                          <w:p w14:paraId="16E50273" w14:textId="77777777" w:rsidR="00A21C2F" w:rsidRPr="00A21C2F" w:rsidRDefault="00A21C2F" w:rsidP="00A21C2F">
                            <w:pPr>
                              <w:ind w:left="-142"/>
                              <w:rPr>
                                <w:color w:val="000000"/>
                                <w:sz w:val="16"/>
                                <w:szCs w:val="16"/>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684BB" id="Rectangle 26" o:spid="_x0000_s1030" style="position:absolute;left:0;text-align:left;margin-left:3.15pt;margin-top:478.05pt;width:81.45pt;height:92.8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" fillcolor="#f2f2f2" stroked="f" strokeweight="1pt">
                <v:textbox inset="4mm,1mm,7mm">
                  <w:txbxContent>
                    <w:p w14:paraId="246A239D" w14:textId="77777777" w:rsidR="00A21C2F" w:rsidRPr="00A21C2F" w:rsidRDefault="00A21C2F" w:rsidP="00A21C2F">
                      <w:pPr>
                        <w:ind w:left="-142" w:right="-258"/>
                        <w:rPr>
                          <w:rFonts w:asciiTheme="minorHAnsi" w:hAnsiTheme="minorHAnsi" w:cstheme="minorHAnsi"/>
                          <w:b/>
                          <w:bCs/>
                          <w:color w:val="000000"/>
                          <w:sz w:val="18"/>
                          <w:szCs w:val="21"/>
                        </w:rPr>
                      </w:pPr>
                      <w:r w:rsidRPr="00A21C2F">
                        <w:rPr>
                          <w:rFonts w:asciiTheme="minorHAnsi" w:hAnsiTheme="minorHAnsi" w:cstheme="minorHAnsi"/>
                          <w:b/>
                          <w:bCs/>
                          <w:color w:val="000000"/>
                          <w:sz w:val="18"/>
                          <w:szCs w:val="21"/>
                        </w:rPr>
                        <w:t xml:space="preserve">The investment strategy </w:t>
                      </w:r>
                      <w:r w:rsidRPr="00A21C2F">
                        <w:rPr>
                          <w:rFonts w:asciiTheme="minorHAnsi" w:hAnsiTheme="minorHAnsi" w:cstheme="minorHAnsi"/>
                          <w:bCs/>
                          <w:color w:val="000000"/>
                          <w:sz w:val="18"/>
                          <w:szCs w:val="21"/>
                        </w:rPr>
                        <w:t>guides investment decisions based on factors such as investment objectives and risk tolerance.</w:t>
                      </w:r>
                    </w:p>
                    <w:p w14:paraId="16E50273" w14:textId="77777777" w:rsidR="00A21C2F" w:rsidRPr="00A21C2F" w:rsidRDefault="00A21C2F" w:rsidP="00A21C2F">
                      <w:pPr>
                        <w:ind w:left="-142"/>
                        <w:rPr>
                          <w:color w:val="000000"/>
                          <w:sz w:val="16"/>
                          <w:szCs w:val="16"/>
                        </w:rPr>
                      </w:pPr>
                    </w:p>
                  </w:txbxContent>
                </v:textbox>
                <w10:wrap type="square" anchorx="page" anchory="page"/>
              </v:rect>
            </w:pict>
          </mc:Fallback>
        </mc:AlternateContent>
      </w:r>
    </w:p>
    <w:p w14:paraId="3594AF53" w14:textId="18F807B3" w:rsidR="00AB1EEE" w:rsidRPr="004346A9" w:rsidRDefault="00AB1EEE" w:rsidP="00571B17">
      <w:pPr>
        <w:ind w:firstLine="207"/>
        <w:rPr>
          <w:rFonts w:ascii="Source Sans Pro" w:hAnsi="Source Sans Pro" w:cs="Times New Roman"/>
        </w:rPr>
      </w:pPr>
      <w:r w:rsidRPr="004346A9">
        <w:rPr>
          <w:rFonts w:ascii="Source Sans Pro" w:hAnsi="Source Sans Pro" w:cs="Times New Roman"/>
        </w:rPr>
        <w:t xml:space="preserve">The investment objective and </w:t>
      </w:r>
      <w:r w:rsidRPr="00581B38">
        <w:rPr>
          <w:rFonts w:ascii="Source Sans Pro" w:hAnsi="Source Sans Pro" w:cs="Times New Roman"/>
        </w:rPr>
        <w:t>strategy of the Fund are defined in Article 3.</w:t>
      </w:r>
      <w:r w:rsidR="00581B38" w:rsidRPr="00581B38">
        <w:rPr>
          <w:rFonts w:ascii="Source Sans Pro" w:hAnsi="Source Sans Pro" w:cs="Times New Roman"/>
        </w:rPr>
        <w:t>2</w:t>
      </w:r>
      <w:r w:rsidRPr="00581B38">
        <w:rPr>
          <w:rFonts w:ascii="Source Sans Pro" w:hAnsi="Source Sans Pro" w:cs="Times New Roman"/>
        </w:rPr>
        <w:t xml:space="preserve"> of the By</w:t>
      </w:r>
      <w:r w:rsidRPr="004346A9">
        <w:rPr>
          <w:rFonts w:ascii="Source Sans Pro" w:hAnsi="Source Sans Pro" w:cs="Times New Roman"/>
        </w:rPr>
        <w:t xml:space="preserve">-Laws. </w:t>
      </w:r>
    </w:p>
    <w:p w14:paraId="32EA451C" w14:textId="77777777" w:rsidR="00AB1EEE" w:rsidRPr="004346A9" w:rsidRDefault="00AB1EEE" w:rsidP="00AB1EEE">
      <w:pPr>
        <w:rPr>
          <w:rFonts w:ascii="Source Sans Pro" w:hAnsi="Source Sans Pro" w:cs="Times New Roman"/>
        </w:rPr>
      </w:pPr>
    </w:p>
    <w:p w14:paraId="606A190A" w14:textId="350A13E4" w:rsidR="00AB1EEE" w:rsidRPr="004346A9" w:rsidRDefault="00AB1EEE" w:rsidP="00CF26EA">
      <w:pPr>
        <w:numPr>
          <w:ilvl w:val="1"/>
          <w:numId w:val="1"/>
        </w:numPr>
        <w:spacing w:after="80"/>
        <w:ind w:left="1418" w:hanging="992"/>
        <w:rPr>
          <w:rFonts w:ascii="Source Sans Pro" w:hAnsi="Source Sans Pro" w:cs="Times New Roman"/>
          <w:i/>
        </w:rPr>
      </w:pPr>
      <w:r w:rsidRPr="004346A9">
        <w:rPr>
          <w:rFonts w:ascii="Source Sans Pro" w:hAnsi="Source Sans Pro" w:cs="Times New Roman"/>
          <w:i/>
        </w:rPr>
        <w:t>What are the binding elements of the investment strategy used to select the investments to attain each of the environmental or social characteristics promoted by this financial product?</w:t>
      </w:r>
    </w:p>
    <w:p w14:paraId="6F9E61CE" w14:textId="5E6730D1" w:rsidR="00552523" w:rsidRPr="00552523" w:rsidRDefault="00552523" w:rsidP="00571B17">
      <w:pPr>
        <w:ind w:left="567"/>
        <w:rPr>
          <w:rFonts w:ascii="Source Sans Pro" w:hAnsi="Source Sans Pro" w:cs="Times New Roman"/>
        </w:rPr>
      </w:pPr>
      <w:r w:rsidRPr="00552523">
        <w:rPr>
          <w:rFonts w:ascii="Source Sans Pro" w:hAnsi="Source Sans Pro" w:cs="Times New Roman"/>
        </w:rPr>
        <w:t xml:space="preserve">The Fund by-laws indicates specific sectors that are forbidden. The </w:t>
      </w:r>
      <w:r w:rsidRPr="004346A9">
        <w:rPr>
          <w:rFonts w:ascii="Source Sans Pro" w:hAnsi="Source Sans Pro" w:cs="Times New Roman"/>
        </w:rPr>
        <w:t>exclusions</w:t>
      </w:r>
      <w:r w:rsidRPr="00552523">
        <w:rPr>
          <w:rFonts w:ascii="Source Sans Pro" w:hAnsi="Source Sans Pro" w:cs="Times New Roman"/>
        </w:rPr>
        <w:t xml:space="preserve"> are listed </w:t>
      </w:r>
      <w:r w:rsidR="004346A9" w:rsidRPr="00552523">
        <w:rPr>
          <w:rFonts w:ascii="Source Sans Pro" w:hAnsi="Source Sans Pro" w:cs="Times New Roman"/>
        </w:rPr>
        <w:t>below</w:t>
      </w:r>
      <w:r w:rsidR="004346A9" w:rsidRPr="004346A9">
        <w:rPr>
          <w:rFonts w:ascii="Source Sans Pro" w:hAnsi="Source Sans Pro" w:cs="Times New Roman"/>
        </w:rPr>
        <w:t>:</w:t>
      </w:r>
    </w:p>
    <w:p w14:paraId="2A1B1898" w14:textId="7CDC06C1" w:rsidR="00552523" w:rsidRPr="00552523" w:rsidRDefault="00571B17" w:rsidP="00552523">
      <w:pPr>
        <w:rPr>
          <w:rFonts w:ascii="Source Sans Pro" w:hAnsi="Source Sans Pro" w:cs="Times New Roman"/>
          <w:i/>
          <w:iCs/>
        </w:rPr>
      </w:pPr>
      <w:r w:rsidRPr="00776340">
        <w:rPr>
          <w:rFonts w:ascii="Calibri" w:eastAsia="Calibri" w:hAnsi="Calibri"/>
          <w:noProof/>
        </w:rPr>
        <mc:AlternateContent>
          <mc:Choice Requires="wps">
            <w:drawing>
              <wp:anchor distT="0" distB="0" distL="114300" distR="114300" simplePos="0" relativeHeight="251681792" behindDoc="0" locked="0" layoutInCell="1" allowOverlap="1" wp14:anchorId="660ED924" wp14:editId="1622DABE">
                <wp:simplePos x="0" y="0"/>
                <wp:positionH relativeFrom="page">
                  <wp:posOffset>47859</wp:posOffset>
                </wp:positionH>
                <wp:positionV relativeFrom="margin">
                  <wp:posOffset>7018254</wp:posOffset>
                </wp:positionV>
                <wp:extent cx="1026160" cy="1483360"/>
                <wp:effectExtent l="0" t="0" r="2540" b="2540"/>
                <wp:wrapSquare wrapText="bothSides"/>
                <wp:docPr id="346" name="Rectangle 346"/>
                <wp:cNvGraphicFramePr/>
                <a:graphic xmlns:a="http://schemas.openxmlformats.org/drawingml/2006/main">
                  <a:graphicData uri="http://schemas.microsoft.com/office/word/2010/wordprocessingShape">
                    <wps:wsp>
                      <wps:cNvSpPr/>
                      <wps:spPr>
                        <a:xfrm>
                          <a:off x="0" y="0"/>
                          <a:ext cx="1026160" cy="1483360"/>
                        </a:xfrm>
                        <a:prstGeom prst="rect">
                          <a:avLst/>
                        </a:prstGeom>
                        <a:solidFill>
                          <a:sysClr val="window" lastClr="FFFFFF">
                            <a:lumMod val="95000"/>
                          </a:sysClr>
                        </a:solidFill>
                        <a:ln w="12700" cap="flat" cmpd="sng" algn="ctr">
                          <a:noFill/>
                          <a:prstDash val="solid"/>
                          <a:miter lim="800000"/>
                        </a:ln>
                        <a:effectLst/>
                      </wps:spPr>
                      <wps:txbx>
                        <w:txbxContent>
                          <w:p w14:paraId="6FCA5F04" w14:textId="77777777" w:rsidR="00A21C2F" w:rsidRPr="00A21C2F" w:rsidRDefault="00A21C2F" w:rsidP="00A21C2F">
                            <w:pPr>
                              <w:ind w:left="-142" w:right="-272"/>
                              <w:rPr>
                                <w:rFonts w:asciiTheme="minorHAnsi" w:hAnsiTheme="minorHAnsi" w:cstheme="minorHAnsi"/>
                                <w:b/>
                                <w:bCs/>
                                <w:color w:val="000000"/>
                                <w:sz w:val="18"/>
                                <w:szCs w:val="21"/>
                              </w:rPr>
                            </w:pPr>
                            <w:r w:rsidRPr="00A21C2F">
                              <w:rPr>
                                <w:rFonts w:asciiTheme="minorHAnsi" w:hAnsiTheme="minorHAnsi" w:cstheme="minorHAnsi"/>
                                <w:b/>
                                <w:bCs/>
                                <w:color w:val="000000"/>
                                <w:sz w:val="18"/>
                                <w:szCs w:val="21"/>
                              </w:rPr>
                              <w:t xml:space="preserve">Good governance </w:t>
                            </w:r>
                            <w:r w:rsidRPr="00A21C2F">
                              <w:rPr>
                                <w:rFonts w:asciiTheme="minorHAnsi" w:hAnsiTheme="minorHAnsi" w:cstheme="minorHAnsi"/>
                                <w:bCs/>
                                <w:color w:val="000000"/>
                                <w:sz w:val="18"/>
                                <w:szCs w:val="21"/>
                              </w:rPr>
                              <w:t>practices include sound management structures, employee relations, remuneration of staff and tax compliance.</w:t>
                            </w:r>
                            <w:r w:rsidRPr="00A21C2F">
                              <w:rPr>
                                <w:rFonts w:asciiTheme="minorHAnsi" w:hAnsiTheme="minorHAnsi" w:cstheme="minorHAnsi"/>
                                <w:b/>
                                <w:bCs/>
                                <w:color w:val="000000"/>
                                <w:sz w:val="18"/>
                                <w:szCs w:val="21"/>
                              </w:rPr>
                              <w:t xml:space="preserve"> </w:t>
                            </w:r>
                          </w:p>
                          <w:p w14:paraId="41AC18FC" w14:textId="77777777" w:rsidR="00A21C2F" w:rsidRPr="00A21C2F" w:rsidRDefault="00A21C2F" w:rsidP="00A21C2F">
                            <w:pPr>
                              <w:ind w:left="-142"/>
                              <w:rPr>
                                <w:rFonts w:asciiTheme="minorHAnsi" w:hAnsiTheme="minorHAnsi" w:cstheme="minorHAnsi"/>
                                <w:color w:val="000000"/>
                                <w:sz w:val="21"/>
                                <w:szCs w:val="21"/>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ED924" id="Rectangle 346" o:spid="_x0000_s1031" style="position:absolute;left:0;text-align:left;margin-left:3.75pt;margin-top:552.6pt;width:80.8pt;height:116.8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" fillcolor="#f2f2f2" stroked="f" strokeweight="1pt">
                <v:textbox inset="4mm,1mm,7mm">
                  <w:txbxContent>
                    <w:p w14:paraId="6FCA5F04" w14:textId="77777777" w:rsidR="00A21C2F" w:rsidRPr="00A21C2F" w:rsidRDefault="00A21C2F" w:rsidP="00A21C2F">
                      <w:pPr>
                        <w:ind w:left="-142" w:right="-272"/>
                        <w:rPr>
                          <w:rFonts w:asciiTheme="minorHAnsi" w:hAnsiTheme="minorHAnsi" w:cstheme="minorHAnsi"/>
                          <w:b/>
                          <w:bCs/>
                          <w:color w:val="000000"/>
                          <w:sz w:val="18"/>
                          <w:szCs w:val="21"/>
                        </w:rPr>
                      </w:pPr>
                      <w:r w:rsidRPr="00A21C2F">
                        <w:rPr>
                          <w:rFonts w:asciiTheme="minorHAnsi" w:hAnsiTheme="minorHAnsi" w:cstheme="minorHAnsi"/>
                          <w:b/>
                          <w:bCs/>
                          <w:color w:val="000000"/>
                          <w:sz w:val="18"/>
                          <w:szCs w:val="21"/>
                        </w:rPr>
                        <w:t xml:space="preserve">Good governance </w:t>
                      </w:r>
                      <w:r w:rsidRPr="00A21C2F">
                        <w:rPr>
                          <w:rFonts w:asciiTheme="minorHAnsi" w:hAnsiTheme="minorHAnsi" w:cstheme="minorHAnsi"/>
                          <w:bCs/>
                          <w:color w:val="000000"/>
                          <w:sz w:val="18"/>
                          <w:szCs w:val="21"/>
                        </w:rPr>
                        <w:t>practices include sound management structures, employee relations, remuneration of staff and tax compliance.</w:t>
                      </w:r>
                      <w:r w:rsidRPr="00A21C2F">
                        <w:rPr>
                          <w:rFonts w:asciiTheme="minorHAnsi" w:hAnsiTheme="minorHAnsi" w:cstheme="minorHAnsi"/>
                          <w:b/>
                          <w:bCs/>
                          <w:color w:val="000000"/>
                          <w:sz w:val="18"/>
                          <w:szCs w:val="21"/>
                        </w:rPr>
                        <w:t xml:space="preserve"> </w:t>
                      </w:r>
                    </w:p>
                    <w:p w14:paraId="41AC18FC" w14:textId="77777777" w:rsidR="00A21C2F" w:rsidRPr="00A21C2F" w:rsidRDefault="00A21C2F" w:rsidP="00A21C2F">
                      <w:pPr>
                        <w:ind w:left="-142"/>
                        <w:rPr>
                          <w:rFonts w:asciiTheme="minorHAnsi" w:hAnsiTheme="minorHAnsi" w:cstheme="minorHAnsi"/>
                          <w:color w:val="000000"/>
                          <w:sz w:val="21"/>
                          <w:szCs w:val="21"/>
                        </w:rPr>
                      </w:pPr>
                    </w:p>
                  </w:txbxContent>
                </v:textbox>
                <w10:wrap type="square" anchorx="page" anchory="margin"/>
              </v:rect>
            </w:pict>
          </mc:Fallback>
        </mc:AlternateContent>
      </w:r>
    </w:p>
    <w:p w14:paraId="6C8B4354" w14:textId="6E554DBC" w:rsidR="00552523" w:rsidRPr="00552523" w:rsidRDefault="00CF26EA" w:rsidP="00CF26EA">
      <w:pPr>
        <w:rPr>
          <w:rFonts w:ascii="Source Sans Pro" w:hAnsi="Source Sans Pro" w:cs="Times New Roman"/>
          <w:b/>
          <w:bCs/>
          <w:lang w:val="en-US"/>
        </w:rPr>
      </w:pPr>
      <w:r>
        <w:rPr>
          <w:rFonts w:ascii="Source Sans Pro" w:hAnsi="Source Sans Pro" w:cs="Times New Roman"/>
          <w:b/>
          <w:bCs/>
          <w:lang w:val="en-US"/>
        </w:rPr>
        <w:t xml:space="preserve">     </w:t>
      </w:r>
      <w:r w:rsidR="00552523" w:rsidRPr="00552523">
        <w:rPr>
          <w:rFonts w:ascii="Source Sans Pro" w:hAnsi="Source Sans Pro" w:cs="Times New Roman"/>
          <w:b/>
          <w:bCs/>
          <w:lang w:val="en-US"/>
        </w:rPr>
        <w:t>A. Tobacco and alcohol</w:t>
      </w:r>
    </w:p>
    <w:p w14:paraId="35A2CBA0" w14:textId="01C4FAF4" w:rsidR="00552523" w:rsidRPr="004346A9" w:rsidRDefault="00552523" w:rsidP="00571B17">
      <w:pPr>
        <w:ind w:left="708"/>
        <w:rPr>
          <w:rFonts w:ascii="Source Sans Pro" w:hAnsi="Source Sans Pro" w:cs="Times New Roman"/>
          <w:lang w:val="en-US"/>
        </w:rPr>
      </w:pPr>
      <w:r w:rsidRPr="00552523">
        <w:rPr>
          <w:rFonts w:ascii="Source Sans Pro" w:hAnsi="Source Sans Pro" w:cs="Times New Roman"/>
          <w:lang w:val="en-US"/>
        </w:rPr>
        <w:t xml:space="preserve">Elaia Partners considers investment in tobacco and distilled alcoholic beverages companies to be unsustainable. We exclude companies that are significantly involved in the production of and trade in tobacco or distilled alcoholic beverages and related products. We also exclude those which have significant ownership in such companies, as well as those which are significantly involved in the wholesale distribution of those products or in the supply of components, such as filters. </w:t>
      </w:r>
    </w:p>
    <w:p w14:paraId="6CFE9069" w14:textId="77777777" w:rsidR="00552523" w:rsidRPr="00552523" w:rsidRDefault="00552523" w:rsidP="00552523">
      <w:pPr>
        <w:rPr>
          <w:rFonts w:ascii="Source Sans Pro" w:hAnsi="Source Sans Pro" w:cs="Times New Roman"/>
          <w:lang w:val="en-US"/>
        </w:rPr>
      </w:pPr>
    </w:p>
    <w:p w14:paraId="416A985C" w14:textId="77777777" w:rsidR="00552523" w:rsidRPr="00552523" w:rsidRDefault="00552523" w:rsidP="00CF26EA">
      <w:pPr>
        <w:ind w:firstLine="708"/>
        <w:rPr>
          <w:rFonts w:ascii="Source Sans Pro" w:hAnsi="Source Sans Pro" w:cs="Times New Roman"/>
          <w:b/>
          <w:bCs/>
          <w:lang w:val="en-US"/>
        </w:rPr>
      </w:pPr>
      <w:r w:rsidRPr="00552523">
        <w:rPr>
          <w:rFonts w:ascii="Source Sans Pro" w:hAnsi="Source Sans Pro" w:cs="Times New Roman"/>
          <w:b/>
          <w:bCs/>
          <w:lang w:val="en-US"/>
        </w:rPr>
        <w:t>B. Adult entertainment and pornography</w:t>
      </w:r>
    </w:p>
    <w:p w14:paraId="3163D618" w14:textId="77777777" w:rsidR="00552523" w:rsidRPr="00552523" w:rsidRDefault="00552523" w:rsidP="00571B17">
      <w:pPr>
        <w:ind w:left="708"/>
        <w:rPr>
          <w:rFonts w:ascii="Source Sans Pro" w:hAnsi="Source Sans Pro" w:cs="Times New Roman"/>
          <w:lang w:val="en-US"/>
        </w:rPr>
      </w:pPr>
      <w:r w:rsidRPr="00552523">
        <w:rPr>
          <w:rFonts w:ascii="Source Sans Pro" w:hAnsi="Source Sans Pro" w:cs="Times New Roman"/>
          <w:lang w:val="en-US"/>
        </w:rPr>
        <w:t xml:space="preserve">Elaia Partners considers investment in adult entertainment and pornography companies to be unaligned with Elaia Partners ’s values, unsustainable and not to contribute positively to the long-term sustainable development of society. We believe that there is a significant risk </w:t>
      </w:r>
      <w:r w:rsidRPr="00552523">
        <w:rPr>
          <w:rFonts w:ascii="Source Sans Pro" w:hAnsi="Source Sans Pro" w:cs="Times New Roman"/>
          <w:lang w:val="en-US"/>
        </w:rPr>
        <w:lastRenderedPageBreak/>
        <w:t>that the adult entertainment industry may indirectly fail to comply with human rights principles from labor practices to societal impact.</w:t>
      </w:r>
    </w:p>
    <w:p w14:paraId="5E1913EF" w14:textId="77777777" w:rsidR="00552523" w:rsidRPr="004346A9" w:rsidRDefault="00552523" w:rsidP="00571B17">
      <w:pPr>
        <w:ind w:left="708"/>
        <w:rPr>
          <w:rFonts w:ascii="Source Sans Pro" w:hAnsi="Source Sans Pro" w:cs="Times New Roman"/>
          <w:lang w:val="en-US"/>
        </w:rPr>
      </w:pPr>
      <w:r w:rsidRPr="00552523">
        <w:rPr>
          <w:rFonts w:ascii="Source Sans Pro" w:hAnsi="Source Sans Pro" w:cs="Times New Roman"/>
          <w:lang w:val="en-US"/>
        </w:rPr>
        <w:t>We exclude companies who receive over 2% of their revenues from the production or distribution of adult entertainment and pornography, those which have a significant ownership in such companies or those which are significantly involved in the wholesale distribution of adult entertainment and pornographic content.</w:t>
      </w:r>
    </w:p>
    <w:p w14:paraId="41D00DE9" w14:textId="77777777" w:rsidR="00552523" w:rsidRPr="00552523" w:rsidRDefault="00552523" w:rsidP="00552523">
      <w:pPr>
        <w:rPr>
          <w:rFonts w:ascii="Source Sans Pro" w:hAnsi="Source Sans Pro" w:cs="Times New Roman"/>
          <w:lang w:val="en-US"/>
        </w:rPr>
      </w:pPr>
    </w:p>
    <w:p w14:paraId="031EA107" w14:textId="77777777" w:rsidR="00552523" w:rsidRPr="00552523" w:rsidRDefault="00552523" w:rsidP="00571B17">
      <w:pPr>
        <w:ind w:firstLine="708"/>
        <w:rPr>
          <w:rFonts w:ascii="Source Sans Pro" w:hAnsi="Source Sans Pro" w:cs="Times New Roman"/>
          <w:b/>
          <w:bCs/>
          <w:lang w:val="en-US"/>
        </w:rPr>
      </w:pPr>
      <w:r w:rsidRPr="00552523">
        <w:rPr>
          <w:rFonts w:ascii="Source Sans Pro" w:hAnsi="Source Sans Pro" w:cs="Times New Roman"/>
          <w:b/>
          <w:bCs/>
          <w:lang w:val="en-US"/>
        </w:rPr>
        <w:t xml:space="preserve">C. Weapons, casinos and equivalent companies </w:t>
      </w:r>
    </w:p>
    <w:p w14:paraId="49143DEB" w14:textId="77777777" w:rsidR="00552523" w:rsidRPr="004346A9" w:rsidRDefault="00552523" w:rsidP="00571B17">
      <w:pPr>
        <w:ind w:left="708"/>
        <w:rPr>
          <w:rFonts w:ascii="Source Sans Pro" w:hAnsi="Source Sans Pro" w:cs="Times New Roman"/>
          <w:lang w:val="en-US"/>
        </w:rPr>
      </w:pPr>
      <w:r w:rsidRPr="00552523">
        <w:rPr>
          <w:rFonts w:ascii="Source Sans Pro" w:hAnsi="Source Sans Pro" w:cs="Times New Roman"/>
          <w:lang w:val="en-US"/>
        </w:rPr>
        <w:t>The Fund excludes companies that focus on the financing, the production of and trade in weapons and ammunition of any kind, it being understood that this restriction does not apply to the extent such activities are part of or accessory to explicit European Union policies. Elaia excludes companies that focus on the casinos and equivalent enterprises.</w:t>
      </w:r>
    </w:p>
    <w:p w14:paraId="0965882A" w14:textId="77777777" w:rsidR="00552523" w:rsidRPr="00552523" w:rsidRDefault="00552523" w:rsidP="00552523">
      <w:pPr>
        <w:rPr>
          <w:rFonts w:ascii="Source Sans Pro" w:hAnsi="Source Sans Pro" w:cs="Times New Roman"/>
          <w:lang w:val="en-US"/>
        </w:rPr>
      </w:pPr>
    </w:p>
    <w:p w14:paraId="289838F1" w14:textId="77777777" w:rsidR="00552523" w:rsidRPr="00552523" w:rsidRDefault="00552523" w:rsidP="00571B17">
      <w:pPr>
        <w:ind w:firstLine="708"/>
        <w:rPr>
          <w:rFonts w:ascii="Source Sans Pro" w:hAnsi="Source Sans Pro" w:cs="Times New Roman"/>
          <w:b/>
          <w:bCs/>
          <w:lang w:val="en-US"/>
        </w:rPr>
      </w:pPr>
      <w:r w:rsidRPr="00552523">
        <w:rPr>
          <w:rFonts w:ascii="Source Sans Pro" w:hAnsi="Source Sans Pro" w:cs="Times New Roman"/>
          <w:b/>
          <w:bCs/>
          <w:lang w:val="en-US"/>
        </w:rPr>
        <w:t xml:space="preserve">D. Excluded sectors indirect support </w:t>
      </w:r>
    </w:p>
    <w:p w14:paraId="72CD347D" w14:textId="77777777" w:rsidR="00552523" w:rsidRPr="00552523" w:rsidRDefault="00552523" w:rsidP="00571B17">
      <w:pPr>
        <w:ind w:left="708"/>
        <w:rPr>
          <w:rFonts w:ascii="Source Sans Pro" w:hAnsi="Source Sans Pro" w:cs="Times New Roman"/>
          <w:lang w:val="en-US"/>
        </w:rPr>
      </w:pPr>
      <w:r w:rsidRPr="00552523">
        <w:rPr>
          <w:rFonts w:ascii="Source Sans Pro" w:hAnsi="Source Sans Pro" w:cs="Times New Roman"/>
          <w:lang w:val="en-US"/>
        </w:rPr>
        <w:t>The Fund excludes companies that perform any of the following research activities as referred to in Article 19 of the Regulation EU (no) 1291/2013 of the European Parliament and the Council:</w:t>
      </w:r>
    </w:p>
    <w:p w14:paraId="45638F6E" w14:textId="77777777" w:rsidR="00552523" w:rsidRPr="00552523" w:rsidRDefault="00552523" w:rsidP="00552523">
      <w:pPr>
        <w:numPr>
          <w:ilvl w:val="0"/>
          <w:numId w:val="19"/>
        </w:numPr>
        <w:rPr>
          <w:rFonts w:ascii="Source Sans Pro" w:hAnsi="Source Sans Pro" w:cs="Times New Roman"/>
          <w:lang w:val="en-US"/>
        </w:rPr>
      </w:pPr>
      <w:r w:rsidRPr="00552523">
        <w:rPr>
          <w:rFonts w:ascii="Source Sans Pro" w:hAnsi="Source Sans Pro" w:cs="Times New Roman"/>
          <w:lang w:val="en-US"/>
        </w:rPr>
        <w:t>Aiming at human cloning for reproductive purposes;</w:t>
      </w:r>
    </w:p>
    <w:p w14:paraId="178237B8" w14:textId="77777777" w:rsidR="00552523" w:rsidRPr="00552523" w:rsidRDefault="00552523" w:rsidP="00552523">
      <w:pPr>
        <w:numPr>
          <w:ilvl w:val="0"/>
          <w:numId w:val="19"/>
        </w:numPr>
        <w:rPr>
          <w:rFonts w:ascii="Source Sans Pro" w:hAnsi="Source Sans Pro" w:cs="Times New Roman"/>
          <w:lang w:val="en-US"/>
        </w:rPr>
      </w:pPr>
      <w:r w:rsidRPr="00552523">
        <w:rPr>
          <w:rFonts w:ascii="Source Sans Pro" w:hAnsi="Source Sans Pro" w:cs="Times New Roman"/>
          <w:lang w:val="en-US"/>
        </w:rPr>
        <w:t>Intended to modify the genetic heritage of human beings which could make such changes heritable (excluding research relating to cancer treatment of the gonads);</w:t>
      </w:r>
    </w:p>
    <w:p w14:paraId="79A04FA1" w14:textId="5B0070B2" w:rsidR="00552523" w:rsidRPr="00552523" w:rsidRDefault="00552523" w:rsidP="00552523">
      <w:pPr>
        <w:numPr>
          <w:ilvl w:val="0"/>
          <w:numId w:val="19"/>
        </w:numPr>
        <w:rPr>
          <w:rFonts w:ascii="Source Sans Pro" w:hAnsi="Source Sans Pro" w:cs="Times New Roman"/>
          <w:lang w:val="en-US"/>
        </w:rPr>
      </w:pPr>
      <w:r w:rsidRPr="00552523">
        <w:rPr>
          <w:rFonts w:ascii="Source Sans Pro" w:hAnsi="Source Sans Pro" w:cs="Times New Roman"/>
          <w:lang w:val="en-US"/>
        </w:rPr>
        <w:t xml:space="preserve">Intended to create human embryos solely for the purpose of research or the purpose of stem cell procurement, including by means of somatic cell nuclear </w:t>
      </w:r>
      <w:r w:rsidRPr="004346A9">
        <w:rPr>
          <w:rFonts w:ascii="Source Sans Pro" w:hAnsi="Source Sans Pro" w:cs="Times New Roman"/>
          <w:lang w:val="en-US"/>
        </w:rPr>
        <w:t>transfer.</w:t>
      </w:r>
    </w:p>
    <w:p w14:paraId="161BBFC3" w14:textId="5F683189" w:rsidR="00552523" w:rsidRPr="00552523" w:rsidRDefault="00552523" w:rsidP="00571B17">
      <w:pPr>
        <w:ind w:left="708"/>
        <w:rPr>
          <w:rFonts w:ascii="Source Sans Pro" w:hAnsi="Source Sans Pro" w:cs="Times New Roman"/>
          <w:lang w:val="en-US"/>
        </w:rPr>
      </w:pPr>
      <w:r w:rsidRPr="00552523">
        <w:rPr>
          <w:rFonts w:ascii="Source Sans Pro" w:hAnsi="Source Sans Pro" w:cs="Times New Roman"/>
          <w:lang w:val="en-US"/>
        </w:rPr>
        <w:t xml:space="preserve">Moreover, the Fund excludes companies that focus on the research, development or technical applications relating to electronic data programs or solutions, </w:t>
      </w:r>
      <w:r w:rsidRPr="004346A9">
        <w:rPr>
          <w:rFonts w:ascii="Source Sans Pro" w:hAnsi="Source Sans Pro" w:cs="Times New Roman"/>
          <w:lang w:val="en-US"/>
        </w:rPr>
        <w:t>which:</w:t>
      </w:r>
    </w:p>
    <w:p w14:paraId="41986173" w14:textId="77777777" w:rsidR="00552523" w:rsidRPr="00552523" w:rsidRDefault="00552523" w:rsidP="00552523">
      <w:pPr>
        <w:numPr>
          <w:ilvl w:val="0"/>
          <w:numId w:val="19"/>
        </w:numPr>
        <w:rPr>
          <w:rFonts w:ascii="Source Sans Pro" w:hAnsi="Source Sans Pro" w:cs="Times New Roman"/>
          <w:lang w:val="en-US"/>
        </w:rPr>
      </w:pPr>
      <w:r w:rsidRPr="00552523">
        <w:rPr>
          <w:rFonts w:ascii="Source Sans Pro" w:hAnsi="Source Sans Pro" w:cs="Times New Roman"/>
          <w:lang w:val="en-US"/>
        </w:rPr>
        <w:t>aim specifically at supporting any activity referred to under items A to E above;</w:t>
      </w:r>
    </w:p>
    <w:p w14:paraId="0DDF48CE" w14:textId="77777777" w:rsidR="00552523" w:rsidRPr="00552523" w:rsidRDefault="00552523" w:rsidP="00552523">
      <w:pPr>
        <w:numPr>
          <w:ilvl w:val="0"/>
          <w:numId w:val="19"/>
        </w:numPr>
        <w:rPr>
          <w:rFonts w:ascii="Source Sans Pro" w:hAnsi="Source Sans Pro" w:cs="Times New Roman"/>
          <w:lang w:val="en-US"/>
        </w:rPr>
      </w:pPr>
      <w:r w:rsidRPr="00552523">
        <w:rPr>
          <w:rFonts w:ascii="Source Sans Pro" w:hAnsi="Source Sans Pro" w:cs="Times New Roman"/>
          <w:lang w:val="en-US"/>
        </w:rPr>
        <w:t>are intended to enable to:</w:t>
      </w:r>
    </w:p>
    <w:p w14:paraId="49F8BA03" w14:textId="77777777" w:rsidR="00552523" w:rsidRPr="00552523" w:rsidRDefault="00552523" w:rsidP="00552523">
      <w:pPr>
        <w:numPr>
          <w:ilvl w:val="1"/>
          <w:numId w:val="19"/>
        </w:numPr>
        <w:rPr>
          <w:rFonts w:ascii="Source Sans Pro" w:hAnsi="Source Sans Pro" w:cs="Times New Roman"/>
          <w:lang w:val="en-US"/>
        </w:rPr>
      </w:pPr>
      <w:r w:rsidRPr="00552523">
        <w:rPr>
          <w:rFonts w:ascii="Source Sans Pro" w:hAnsi="Source Sans Pro" w:cs="Times New Roman"/>
          <w:lang w:val="en-US"/>
        </w:rPr>
        <w:t>illegally enter into electronic data networks; or</w:t>
      </w:r>
    </w:p>
    <w:p w14:paraId="6604E140" w14:textId="77777777" w:rsidR="00552523" w:rsidRPr="00552523" w:rsidRDefault="00552523" w:rsidP="00552523">
      <w:pPr>
        <w:numPr>
          <w:ilvl w:val="1"/>
          <w:numId w:val="19"/>
        </w:numPr>
        <w:rPr>
          <w:rFonts w:ascii="Source Sans Pro" w:hAnsi="Source Sans Pro" w:cs="Times New Roman"/>
          <w:lang w:val="en-US"/>
        </w:rPr>
      </w:pPr>
      <w:r w:rsidRPr="00552523">
        <w:rPr>
          <w:rFonts w:ascii="Source Sans Pro" w:hAnsi="Source Sans Pro" w:cs="Times New Roman"/>
          <w:lang w:val="en-US"/>
        </w:rPr>
        <w:t xml:space="preserve">illegally download electronic data. </w:t>
      </w:r>
    </w:p>
    <w:p w14:paraId="64423E1F" w14:textId="77777777" w:rsidR="00552523" w:rsidRPr="004346A9" w:rsidRDefault="00552523" w:rsidP="00571B17">
      <w:pPr>
        <w:ind w:left="708"/>
        <w:rPr>
          <w:rFonts w:ascii="Source Sans Pro" w:hAnsi="Source Sans Pro" w:cs="Times New Roman"/>
          <w:lang w:val="en-US"/>
        </w:rPr>
      </w:pPr>
      <w:r w:rsidRPr="00552523">
        <w:rPr>
          <w:rFonts w:ascii="Source Sans Pro" w:hAnsi="Source Sans Pro" w:cs="Times New Roman"/>
          <w:lang w:val="en-US"/>
        </w:rPr>
        <w:t>In addition, when providing support to the financing of the research, development or technical applications relating to human cloning for research or therapeutic purposes, or genetically modified organisms (GMOs), we shall ensure the appropriate control of legal, regulatory and ethical issues linked to such human cloning for research or therapeutic purposes and/or GMOs.</w:t>
      </w:r>
    </w:p>
    <w:p w14:paraId="324B71E1" w14:textId="77777777" w:rsidR="00552523" w:rsidRPr="00552523" w:rsidRDefault="00552523" w:rsidP="00552523">
      <w:pPr>
        <w:rPr>
          <w:rFonts w:ascii="Source Sans Pro" w:hAnsi="Source Sans Pro" w:cs="Times New Roman"/>
          <w:lang w:val="en-US"/>
        </w:rPr>
      </w:pPr>
    </w:p>
    <w:p w14:paraId="5C561E5A" w14:textId="77777777" w:rsidR="00552523" w:rsidRPr="00552523" w:rsidRDefault="00552523" w:rsidP="00571B17">
      <w:pPr>
        <w:ind w:firstLine="708"/>
        <w:rPr>
          <w:rFonts w:ascii="Source Sans Pro" w:hAnsi="Source Sans Pro" w:cs="Times New Roman"/>
          <w:b/>
          <w:bCs/>
          <w:lang w:val="en-US"/>
        </w:rPr>
      </w:pPr>
      <w:bookmarkStart w:id="0" w:name="_Toc117763977"/>
      <w:r w:rsidRPr="00552523">
        <w:rPr>
          <w:rFonts w:ascii="Source Sans Pro" w:hAnsi="Source Sans Pro" w:cs="Times New Roman"/>
          <w:b/>
          <w:bCs/>
          <w:lang w:val="en-US"/>
        </w:rPr>
        <w:t>E. Geographical exclusions</w:t>
      </w:r>
      <w:bookmarkEnd w:id="0"/>
    </w:p>
    <w:p w14:paraId="6ED73C88" w14:textId="77777777" w:rsidR="00552523" w:rsidRPr="00552523" w:rsidRDefault="00552523" w:rsidP="00571B17">
      <w:pPr>
        <w:ind w:left="708"/>
        <w:rPr>
          <w:rFonts w:ascii="Source Sans Pro" w:hAnsi="Source Sans Pro" w:cs="Times New Roman"/>
          <w:lang w:val="en-US"/>
        </w:rPr>
      </w:pPr>
      <w:r w:rsidRPr="00552523">
        <w:rPr>
          <w:rFonts w:ascii="Source Sans Pro" w:hAnsi="Source Sans Pro" w:cs="Times New Roman"/>
          <w:lang w:val="en-US"/>
        </w:rPr>
        <w:t>The Fund excludes investments in companies that are established in and maintain significant business relationship with entities incorporated in non-cooperative jurisdictions, as classified by lead organizations for not having made sufficient progress towards satisfactory implementation of EU and/or internationally agreed standards in connection with AML-CFT and/or tax good governance standards.</w:t>
      </w:r>
    </w:p>
    <w:p w14:paraId="523A2571" w14:textId="624A3557" w:rsidR="00552523" w:rsidRPr="00552523" w:rsidRDefault="00552523" w:rsidP="00571B17">
      <w:pPr>
        <w:ind w:left="708"/>
        <w:rPr>
          <w:rFonts w:ascii="Source Sans Pro" w:hAnsi="Source Sans Pro" w:cs="Times New Roman"/>
        </w:rPr>
      </w:pPr>
      <w:r w:rsidRPr="00552523">
        <w:rPr>
          <w:rFonts w:ascii="Source Sans Pro" w:hAnsi="Source Sans Pro" w:cs="Times New Roman"/>
          <w:lang w:val="en-US"/>
        </w:rPr>
        <w:t>In addition to this list of forbidden sectors</w:t>
      </w:r>
      <w:r w:rsidRPr="00552523">
        <w:rPr>
          <w:rFonts w:ascii="Source Sans Pro" w:hAnsi="Source Sans Pro" w:cs="Times New Roman"/>
          <w:i/>
          <w:iCs/>
          <w:lang w:val="en-US"/>
        </w:rPr>
        <w:t xml:space="preserve">, </w:t>
      </w:r>
      <w:r w:rsidRPr="00552523">
        <w:rPr>
          <w:rFonts w:ascii="Source Sans Pro" w:hAnsi="Source Sans Pro" w:cs="Times New Roman"/>
        </w:rPr>
        <w:t>Elaia Partners has put in place an additional layer of exclusion policy follows with no exceptions, based on the following exclusions.</w:t>
      </w:r>
    </w:p>
    <w:p w14:paraId="1BBB3998" w14:textId="77777777" w:rsidR="00552523" w:rsidRPr="00552523" w:rsidRDefault="00552523" w:rsidP="00552523">
      <w:pPr>
        <w:rPr>
          <w:rFonts w:ascii="Source Sans Pro" w:hAnsi="Source Sans Pro" w:cs="Times New Roman"/>
        </w:rPr>
      </w:pPr>
    </w:p>
    <w:p w14:paraId="789D3204" w14:textId="4493C24F" w:rsidR="00552523" w:rsidRPr="00552523" w:rsidRDefault="00552523" w:rsidP="00571B17">
      <w:pPr>
        <w:ind w:firstLine="708"/>
        <w:rPr>
          <w:rFonts w:ascii="Source Sans Pro" w:hAnsi="Source Sans Pro" w:cs="Times New Roman"/>
          <w:b/>
          <w:bCs/>
          <w:lang w:val="en-US"/>
        </w:rPr>
      </w:pPr>
      <w:r w:rsidRPr="004346A9">
        <w:rPr>
          <w:rFonts w:ascii="Source Sans Pro" w:hAnsi="Source Sans Pro" w:cs="Times New Roman"/>
          <w:b/>
          <w:bCs/>
        </w:rPr>
        <w:t>F</w:t>
      </w:r>
      <w:r w:rsidRPr="00552523">
        <w:rPr>
          <w:rFonts w:ascii="Source Sans Pro" w:hAnsi="Source Sans Pro" w:cs="Times New Roman"/>
          <w:b/>
          <w:bCs/>
          <w:lang w:val="en-US"/>
        </w:rPr>
        <w:t xml:space="preserve">. Thermal coal miners </w:t>
      </w:r>
    </w:p>
    <w:p w14:paraId="4194AD54" w14:textId="77777777" w:rsidR="00552523" w:rsidRPr="004346A9" w:rsidRDefault="00552523" w:rsidP="00571B17">
      <w:pPr>
        <w:ind w:left="708"/>
        <w:rPr>
          <w:rFonts w:ascii="Source Sans Pro" w:hAnsi="Source Sans Pro" w:cs="Times New Roman"/>
          <w:lang w:val="en-US"/>
        </w:rPr>
      </w:pPr>
      <w:r w:rsidRPr="00552523">
        <w:rPr>
          <w:rFonts w:ascii="Source Sans Pro" w:hAnsi="Source Sans Pro" w:cs="Times New Roman"/>
          <w:lang w:val="en-US"/>
        </w:rPr>
        <w:t>Elaia Partners acknowledges that reducing thermal coal emissions, as recommended by scientists, is one of the most effective ways of transitioning to a cleaner energy system and being consistent with the Paris Agreement. Elaia pledges that no investment shall be made by Elaia’s funds in coal mining-related companies, except if the relation to coal mining is that of coal-usage reduction.</w:t>
      </w:r>
    </w:p>
    <w:p w14:paraId="4F399171" w14:textId="77777777" w:rsidR="00552523" w:rsidRPr="00552523" w:rsidRDefault="00552523" w:rsidP="00552523">
      <w:pPr>
        <w:rPr>
          <w:rFonts w:ascii="Source Sans Pro" w:hAnsi="Source Sans Pro" w:cs="Times New Roman"/>
          <w:lang w:val="en-US"/>
        </w:rPr>
      </w:pPr>
    </w:p>
    <w:p w14:paraId="7FCA3C50" w14:textId="4C1D2349" w:rsidR="00552523" w:rsidRPr="00552523" w:rsidRDefault="00552523" w:rsidP="00571B17">
      <w:pPr>
        <w:ind w:firstLine="540"/>
        <w:rPr>
          <w:rFonts w:ascii="Source Sans Pro" w:hAnsi="Source Sans Pro" w:cs="Times New Roman"/>
          <w:b/>
          <w:bCs/>
          <w:lang w:val="en-US"/>
        </w:rPr>
      </w:pPr>
      <w:r w:rsidRPr="004346A9">
        <w:rPr>
          <w:rFonts w:ascii="Source Sans Pro" w:hAnsi="Source Sans Pro" w:cs="Times New Roman"/>
          <w:b/>
          <w:bCs/>
          <w:lang w:val="en-US"/>
        </w:rPr>
        <w:t>G</w:t>
      </w:r>
      <w:r w:rsidRPr="00552523">
        <w:rPr>
          <w:rFonts w:ascii="Source Sans Pro" w:hAnsi="Source Sans Pro" w:cs="Times New Roman"/>
          <w:b/>
          <w:bCs/>
          <w:lang w:val="en-US"/>
        </w:rPr>
        <w:t>. Coal based power generation</w:t>
      </w:r>
    </w:p>
    <w:p w14:paraId="0C78D03D" w14:textId="77777777" w:rsidR="00552523" w:rsidRPr="00552523" w:rsidRDefault="00552523" w:rsidP="00571B17">
      <w:pPr>
        <w:ind w:left="540"/>
        <w:rPr>
          <w:rFonts w:ascii="Source Sans Pro" w:hAnsi="Source Sans Pro" w:cs="Times New Roman"/>
          <w:lang w:val="en-US"/>
        </w:rPr>
      </w:pPr>
      <w:r w:rsidRPr="00552523">
        <w:rPr>
          <w:rFonts w:ascii="Source Sans Pro" w:hAnsi="Source Sans Pro" w:cs="Times New Roman"/>
          <w:lang w:val="en-US"/>
        </w:rPr>
        <w:lastRenderedPageBreak/>
        <w:t>Elaia Partners recognises the importance of encouraging companies to reduce their dependence on coal power generation in order to align their activities with the Paris Agreement. Hence, Elaia will not invest in coal-based power generation companies.</w:t>
      </w:r>
    </w:p>
    <w:p w14:paraId="084A2238" w14:textId="77777777" w:rsidR="00AB1EEE" w:rsidRPr="004346A9" w:rsidRDefault="00AB1EEE" w:rsidP="00AB1EEE">
      <w:pPr>
        <w:rPr>
          <w:rFonts w:ascii="Source Sans Pro" w:hAnsi="Source Sans Pro" w:cs="Times New Roman"/>
          <w:i/>
          <w:u w:val="single"/>
        </w:rPr>
      </w:pPr>
    </w:p>
    <w:p w14:paraId="1F0F6250" w14:textId="77777777" w:rsidR="00AB1EEE" w:rsidRPr="004346A9" w:rsidRDefault="00AB1EEE" w:rsidP="00CF26EA">
      <w:pPr>
        <w:numPr>
          <w:ilvl w:val="1"/>
          <w:numId w:val="1"/>
        </w:numPr>
        <w:ind w:left="1418" w:hanging="992"/>
        <w:rPr>
          <w:rFonts w:ascii="Source Sans Pro" w:hAnsi="Source Sans Pro" w:cs="Times New Roman"/>
          <w:i/>
        </w:rPr>
      </w:pPr>
      <w:r w:rsidRPr="004346A9">
        <w:rPr>
          <w:rFonts w:ascii="Source Sans Pro" w:hAnsi="Source Sans Pro" w:cs="Times New Roman"/>
          <w:i/>
        </w:rPr>
        <w:t>What is the committed minimum rate to reduce the scope of the investments considered prior to the application of that investment strategy?</w:t>
      </w:r>
    </w:p>
    <w:p w14:paraId="7ABB5563" w14:textId="0DF1F79C" w:rsidR="00AB1EEE" w:rsidRPr="004346A9" w:rsidRDefault="00000000" w:rsidP="00AB1EEE">
      <w:pPr>
        <w:rPr>
          <w:rFonts w:ascii="Source Sans Pro" w:hAnsi="Source Sans Pro" w:cs="Times New Roman"/>
        </w:rPr>
      </w:pPr>
      <w:sdt>
        <w:sdtPr>
          <w:rPr>
            <w:rFonts w:ascii="Source Sans Pro" w:hAnsi="Source Sans Pro"/>
          </w:rPr>
          <w:tag w:val="goog_rdk_11"/>
          <w:id w:val="205298357"/>
        </w:sdtPr>
        <w:sdtContent/>
      </w:sdt>
    </w:p>
    <w:p w14:paraId="2E780B2F" w14:textId="3C493A2B" w:rsidR="00552523" w:rsidRPr="004346A9" w:rsidRDefault="00552523" w:rsidP="00571B17">
      <w:pPr>
        <w:ind w:firstLine="540"/>
        <w:rPr>
          <w:rFonts w:ascii="Source Sans Pro" w:hAnsi="Source Sans Pro"/>
        </w:rPr>
      </w:pPr>
      <w:r w:rsidRPr="004346A9">
        <w:rPr>
          <w:rFonts w:ascii="Source Sans Pro" w:hAnsi="Source Sans Pro"/>
        </w:rPr>
        <w:t>This exclusion policy is applied to all companies considered for investment.</w:t>
      </w:r>
    </w:p>
    <w:p w14:paraId="2784D8A5" w14:textId="4B57FDE2" w:rsidR="00552523" w:rsidRPr="004346A9" w:rsidRDefault="00552523" w:rsidP="00AB1EEE">
      <w:pPr>
        <w:rPr>
          <w:rFonts w:ascii="Source Sans Pro" w:hAnsi="Source Sans Pro" w:cs="Times New Roman"/>
        </w:rPr>
      </w:pPr>
    </w:p>
    <w:p w14:paraId="7FC7AABA" w14:textId="77777777" w:rsidR="00AB1EEE" w:rsidRPr="004346A9" w:rsidRDefault="00AB1EEE" w:rsidP="00CF26EA">
      <w:pPr>
        <w:numPr>
          <w:ilvl w:val="1"/>
          <w:numId w:val="1"/>
        </w:numPr>
        <w:ind w:left="1418" w:hanging="992"/>
        <w:rPr>
          <w:rFonts w:ascii="Source Sans Pro" w:hAnsi="Source Sans Pro" w:cs="Times New Roman"/>
          <w:i/>
        </w:rPr>
      </w:pPr>
      <w:r w:rsidRPr="004346A9">
        <w:rPr>
          <w:rFonts w:ascii="Source Sans Pro" w:hAnsi="Source Sans Pro" w:cs="Times New Roman"/>
          <w:i/>
        </w:rPr>
        <w:t>What is the policy to assess good governance practices of the investee companies?</w:t>
      </w:r>
    </w:p>
    <w:p w14:paraId="29ED93D6" w14:textId="77777777" w:rsidR="00AB1EEE" w:rsidRPr="004346A9" w:rsidRDefault="00AB1EEE" w:rsidP="00AB1EEE">
      <w:pPr>
        <w:ind w:left="560"/>
        <w:rPr>
          <w:rFonts w:ascii="Source Sans Pro" w:hAnsi="Source Sans Pro" w:cs="Times New Roman"/>
        </w:rPr>
      </w:pPr>
      <w:r w:rsidRPr="004346A9">
        <w:rPr>
          <w:rFonts w:ascii="Source Sans Pro" w:hAnsi="Source Sans Pro" w:cs="Times New Roman"/>
        </w:rPr>
        <w:t xml:space="preserve"> </w:t>
      </w:r>
    </w:p>
    <w:p w14:paraId="7F69F176" w14:textId="4D640946" w:rsidR="00552523" w:rsidRPr="004346A9" w:rsidRDefault="00552523" w:rsidP="00571B17">
      <w:pPr>
        <w:ind w:left="540"/>
        <w:rPr>
          <w:rFonts w:ascii="Source Sans Pro" w:eastAsia="Source Sans Pro" w:hAnsi="Source Sans Pro" w:cs="Source Sans Pro"/>
        </w:rPr>
      </w:pPr>
      <w:r w:rsidRPr="004346A9">
        <w:rPr>
          <w:rFonts w:ascii="Source Sans Pro" w:eastAsia="Source Sans Pro" w:hAnsi="Source Sans Pro" w:cs="Source Sans Pro"/>
        </w:rPr>
        <w:t>The ESG committee has been settled as well to develop and implement the best practices in terms of governance strategy.</w:t>
      </w:r>
    </w:p>
    <w:p w14:paraId="1E614537" w14:textId="742AED98" w:rsidR="00552523" w:rsidRPr="004346A9" w:rsidRDefault="00552523" w:rsidP="00571B17">
      <w:pPr>
        <w:ind w:left="540"/>
        <w:rPr>
          <w:rFonts w:ascii="Source Sans Pro" w:eastAsia="Source Sans Pro" w:hAnsi="Source Sans Pro" w:cs="Source Sans Pro"/>
        </w:rPr>
      </w:pPr>
    </w:p>
    <w:p w14:paraId="14A90083" w14:textId="54B99C0B" w:rsidR="00552523" w:rsidRPr="004346A9" w:rsidRDefault="00552523" w:rsidP="00571B17">
      <w:pPr>
        <w:ind w:left="540"/>
        <w:rPr>
          <w:rFonts w:ascii="Source Sans Pro" w:eastAsia="Source Sans Pro" w:hAnsi="Source Sans Pro" w:cs="Source Sans Pro"/>
          <w:lang w:val="en-US"/>
        </w:rPr>
      </w:pPr>
      <w:r w:rsidRPr="004346A9">
        <w:rPr>
          <w:rFonts w:ascii="Source Sans Pro" w:eastAsia="Source Sans Pro" w:hAnsi="Source Sans Pro" w:cs="Source Sans Pro"/>
          <w:lang w:val="en-US"/>
        </w:rPr>
        <w:t>This last pillar of ESG refers to a set of rules and principles that define rights, responsibilities and expectations among different stakeholders in the governance of a company. It can serve as a control mechanism in relation to bribery and corruption, executive remuneration, shareholders’ voting possibilities and internal control.</w:t>
      </w:r>
    </w:p>
    <w:p w14:paraId="3285578A" w14:textId="77777777" w:rsidR="00552523" w:rsidRPr="004346A9" w:rsidRDefault="00552523" w:rsidP="00571B17">
      <w:pPr>
        <w:ind w:left="540"/>
        <w:rPr>
          <w:rFonts w:ascii="Source Sans Pro" w:eastAsia="Source Sans Pro" w:hAnsi="Source Sans Pro" w:cs="Source Sans Pro"/>
          <w:lang w:val="en-US"/>
        </w:rPr>
      </w:pPr>
    </w:p>
    <w:p w14:paraId="407C1A95" w14:textId="77777777" w:rsidR="00552523" w:rsidRPr="004346A9" w:rsidRDefault="00552523" w:rsidP="00571B17">
      <w:pPr>
        <w:ind w:left="540"/>
        <w:rPr>
          <w:rFonts w:ascii="Source Sans Pro" w:eastAsia="Source Sans Pro" w:hAnsi="Source Sans Pro" w:cs="Source Sans Pro"/>
          <w:lang w:val="en-US"/>
        </w:rPr>
      </w:pPr>
      <w:r w:rsidRPr="004346A9">
        <w:rPr>
          <w:rFonts w:ascii="Source Sans Pro" w:eastAsia="Source Sans Pro" w:hAnsi="Source Sans Pro" w:cs="Source Sans Pro"/>
          <w:lang w:val="en-US"/>
        </w:rPr>
        <w:t>We believe that fair governance provides long-term benefits for shareholders, employees and the society as a whole. One way of ensuring this is to focus on increasing transparency and openness in contacts between the company and shareholders on issues such as board composition and shareholder rights.</w:t>
      </w:r>
    </w:p>
    <w:p w14:paraId="74148A9C" w14:textId="47F55D68" w:rsidR="00552523" w:rsidRPr="004346A9" w:rsidRDefault="00552523" w:rsidP="00571B17">
      <w:pPr>
        <w:ind w:left="540"/>
        <w:rPr>
          <w:rFonts w:ascii="Source Sans Pro" w:eastAsia="Source Sans Pro" w:hAnsi="Source Sans Pro" w:cs="Source Sans Pro"/>
        </w:rPr>
      </w:pPr>
      <w:r w:rsidRPr="004346A9">
        <w:rPr>
          <w:rFonts w:ascii="Source Sans Pro" w:eastAsia="Source Sans Pro" w:hAnsi="Source Sans Pro" w:cs="Source Sans Pro"/>
        </w:rPr>
        <w:t xml:space="preserve">During the investment process, </w:t>
      </w:r>
      <w:r w:rsidR="00733044">
        <w:rPr>
          <w:rFonts w:ascii="Source Sans Pro" w:eastAsia="Source Sans Pro" w:hAnsi="Source Sans Pro" w:cs="Source Sans Pro"/>
        </w:rPr>
        <w:t>MH Innov 1’</w:t>
      </w:r>
      <w:r w:rsidRPr="004346A9">
        <w:rPr>
          <w:rFonts w:ascii="Source Sans Pro" w:eastAsia="Source Sans Pro" w:hAnsi="Source Sans Pro" w:cs="Source Sans Pro"/>
        </w:rPr>
        <w:t xml:space="preserve"> investment team analyses governance criteria and delivers specific due diligences:</w:t>
      </w:r>
    </w:p>
    <w:p w14:paraId="5316839F" w14:textId="77777777" w:rsidR="00552523" w:rsidRPr="004346A9" w:rsidRDefault="00552523" w:rsidP="00571B17">
      <w:pPr>
        <w:pStyle w:val="Paragraphedeliste"/>
        <w:numPr>
          <w:ilvl w:val="0"/>
          <w:numId w:val="17"/>
        </w:numPr>
        <w:spacing w:after="160" w:line="259" w:lineRule="auto"/>
        <w:ind w:left="1260"/>
        <w:contextualSpacing/>
        <w:rPr>
          <w:rFonts w:ascii="Source Sans Pro" w:eastAsia="Source Sans Pro" w:hAnsi="Source Sans Pro" w:cs="Source Sans Pro"/>
        </w:rPr>
      </w:pPr>
      <w:r w:rsidRPr="004346A9">
        <w:rPr>
          <w:rFonts w:ascii="Source Sans Pro" w:eastAsia="Source Sans Pro" w:hAnsi="Source Sans Pro" w:cs="Source Sans Pro"/>
        </w:rPr>
        <w:t xml:space="preserve">External pre-investment </w:t>
      </w:r>
      <w:r w:rsidRPr="004346A9">
        <w:rPr>
          <w:rFonts w:ascii="Source Sans Pro" w:eastAsia="Source Sans Pro" w:hAnsi="Source Sans Pro" w:cs="Source Sans Pro"/>
          <w:color w:val="000000" w:themeColor="text1"/>
        </w:rPr>
        <w:t xml:space="preserve">governance </w:t>
      </w:r>
      <w:r w:rsidRPr="004346A9">
        <w:rPr>
          <w:rFonts w:ascii="Source Sans Pro" w:eastAsia="Source Sans Pro" w:hAnsi="Source Sans Pro" w:cs="Source Sans Pro"/>
        </w:rPr>
        <w:t>audit</w:t>
      </w:r>
    </w:p>
    <w:p w14:paraId="21C45BD5" w14:textId="77777777" w:rsidR="00552523" w:rsidRPr="004346A9" w:rsidRDefault="00552523" w:rsidP="00571B17">
      <w:pPr>
        <w:pStyle w:val="Paragraphedeliste"/>
        <w:numPr>
          <w:ilvl w:val="0"/>
          <w:numId w:val="17"/>
        </w:numPr>
        <w:spacing w:after="160" w:line="259" w:lineRule="auto"/>
        <w:ind w:left="1260"/>
        <w:contextualSpacing/>
        <w:rPr>
          <w:rFonts w:ascii="Source Sans Pro" w:hAnsi="Source Sans Pro"/>
          <w:lang w:val="en-US"/>
        </w:rPr>
      </w:pPr>
      <w:r w:rsidRPr="004346A9">
        <w:rPr>
          <w:rFonts w:ascii="Source Sans Pro" w:eastAsia="Source Sans Pro" w:hAnsi="Source Sans Pro" w:cs="Source Sans Pro"/>
        </w:rPr>
        <w:t>In close relationship with the investee’s management, definition of key governance indicators and objectives to be monitored by the companies (e.g., written CSR guidelines at a company level, s</w:t>
      </w:r>
      <w:r w:rsidRPr="004346A9">
        <w:rPr>
          <w:rFonts w:ascii="Source Sans Pro" w:hAnsi="Source Sans Pro"/>
          <w:lang w:val="en-US"/>
        </w:rPr>
        <w:t>hare of independent members on the board, Share of women on the board of directors, etc.)</w:t>
      </w:r>
    </w:p>
    <w:p w14:paraId="0503B188" w14:textId="77777777" w:rsidR="00552523" w:rsidRPr="004346A9" w:rsidRDefault="00552523" w:rsidP="00571B17">
      <w:pPr>
        <w:pStyle w:val="Paragraphedeliste"/>
        <w:numPr>
          <w:ilvl w:val="0"/>
          <w:numId w:val="17"/>
        </w:numPr>
        <w:spacing w:after="160" w:line="259" w:lineRule="auto"/>
        <w:ind w:left="1260"/>
        <w:contextualSpacing/>
        <w:rPr>
          <w:rFonts w:ascii="Source Sans Pro" w:eastAsia="Source Sans Pro" w:hAnsi="Source Sans Pro" w:cs="Source Sans Pro"/>
        </w:rPr>
      </w:pPr>
      <w:r w:rsidRPr="004346A9">
        <w:rPr>
          <w:rFonts w:ascii="Source Sans Pro" w:eastAsia="Source Sans Pro" w:hAnsi="Source Sans Pro" w:cs="Source Sans Pro"/>
        </w:rPr>
        <w:t>Letter of intent and shareholders agreements raising awareness among the entrepreneurs</w:t>
      </w:r>
    </w:p>
    <w:p w14:paraId="79BE55E4" w14:textId="77777777" w:rsidR="00552523" w:rsidRPr="004346A9" w:rsidRDefault="00552523" w:rsidP="00571B17">
      <w:pPr>
        <w:pStyle w:val="Paragraphedeliste"/>
        <w:numPr>
          <w:ilvl w:val="0"/>
          <w:numId w:val="17"/>
        </w:numPr>
        <w:spacing w:after="160" w:line="259" w:lineRule="auto"/>
        <w:ind w:left="1260"/>
        <w:contextualSpacing/>
        <w:rPr>
          <w:rFonts w:ascii="Source Sans Pro" w:eastAsia="Source Sans Pro" w:hAnsi="Source Sans Pro" w:cs="Source Sans Pro"/>
        </w:rPr>
      </w:pPr>
      <w:r w:rsidRPr="004346A9">
        <w:rPr>
          <w:rFonts w:ascii="Source Sans Pro" w:eastAsia="Source Sans Pro" w:hAnsi="Source Sans Pro" w:cs="Source Sans Pro"/>
          <w:color w:val="000000" w:themeColor="text1"/>
        </w:rPr>
        <w:t>Governance</w:t>
      </w:r>
      <w:r w:rsidRPr="004346A9">
        <w:rPr>
          <w:rFonts w:ascii="Source Sans Pro" w:eastAsia="Source Sans Pro" w:hAnsi="Source Sans Pro" w:cs="Source Sans Pro"/>
        </w:rPr>
        <w:t xml:space="preserve"> criteria integrated into decision-making by the investment committee</w:t>
      </w:r>
    </w:p>
    <w:p w14:paraId="15F20178" w14:textId="77777777" w:rsidR="00552523" w:rsidRPr="004346A9" w:rsidRDefault="00552523" w:rsidP="00571B17">
      <w:pPr>
        <w:ind w:left="540"/>
        <w:rPr>
          <w:rFonts w:ascii="Source Sans Pro" w:eastAsia="Source Sans Pro" w:hAnsi="Source Sans Pro" w:cs="Source Sans Pro"/>
          <w:lang w:val="en-US"/>
        </w:rPr>
      </w:pPr>
      <w:r w:rsidRPr="004346A9">
        <w:rPr>
          <w:rFonts w:ascii="Source Sans Pro" w:hAnsi="Source Sans Pro"/>
          <w:lang w:val="en-US"/>
        </w:rPr>
        <w:br/>
      </w:r>
      <w:r w:rsidRPr="004346A9">
        <w:rPr>
          <w:rFonts w:ascii="Source Sans Pro" w:eastAsia="Source Sans Pro" w:hAnsi="Source Sans Pro" w:cs="Source Sans Pro"/>
          <w:lang w:val="en-US"/>
        </w:rPr>
        <w:t xml:space="preserve">During the investment journey of the Fund portfolio companies, Elaia Partners is thus committed to establishing experienced and robust Boards of Directors to support its companies. Partners and Investment Directors responsible for the investments systematically sit on the Boards.  The importance of these Board director positions is reflected in the quality of the monitoring of the portfolio companies. </w:t>
      </w:r>
    </w:p>
    <w:p w14:paraId="002F12F8" w14:textId="77777777" w:rsidR="00552523" w:rsidRPr="004346A9" w:rsidRDefault="00552523" w:rsidP="00571B17">
      <w:pPr>
        <w:ind w:left="540"/>
        <w:rPr>
          <w:rFonts w:ascii="Source Sans Pro" w:eastAsia="Source Sans Pro" w:hAnsi="Source Sans Pro" w:cs="Source Sans Pro"/>
          <w:lang w:val="en-US"/>
        </w:rPr>
      </w:pPr>
      <w:r w:rsidRPr="004346A9">
        <w:rPr>
          <w:rFonts w:ascii="Source Sans Pro" w:eastAsia="Source Sans Pro" w:hAnsi="Source Sans Pro" w:cs="Source Sans Pro"/>
          <w:lang w:val="en-US"/>
        </w:rPr>
        <w:t>This presence in Boards enables:</w:t>
      </w:r>
    </w:p>
    <w:p w14:paraId="28F75451" w14:textId="77777777" w:rsidR="00552523" w:rsidRPr="004346A9" w:rsidRDefault="00552523" w:rsidP="00571B17">
      <w:pPr>
        <w:pStyle w:val="Paragraphedeliste"/>
        <w:numPr>
          <w:ilvl w:val="0"/>
          <w:numId w:val="20"/>
        </w:numPr>
        <w:spacing w:after="160" w:line="259" w:lineRule="auto"/>
        <w:ind w:left="1260"/>
        <w:contextualSpacing/>
        <w:rPr>
          <w:rFonts w:ascii="Source Sans Pro" w:eastAsia="Source Sans Pro" w:hAnsi="Source Sans Pro" w:cs="Source Sans Pro"/>
          <w:lang w:val="en-US"/>
        </w:rPr>
      </w:pPr>
      <w:r w:rsidRPr="004346A9">
        <w:rPr>
          <w:rFonts w:ascii="Source Sans Pro" w:eastAsia="Source Sans Pro" w:hAnsi="Source Sans Pro" w:cs="Source Sans Pro"/>
          <w:lang w:val="en-US"/>
        </w:rPr>
        <w:t>Regular meetings with the entrepreneurs every six to eight weeks at early stages</w:t>
      </w:r>
    </w:p>
    <w:p w14:paraId="336A5EF3" w14:textId="77777777" w:rsidR="00552523" w:rsidRPr="004346A9" w:rsidRDefault="00552523" w:rsidP="00571B17">
      <w:pPr>
        <w:pStyle w:val="Paragraphedeliste"/>
        <w:numPr>
          <w:ilvl w:val="0"/>
          <w:numId w:val="20"/>
        </w:numPr>
        <w:spacing w:after="160" w:line="259" w:lineRule="auto"/>
        <w:ind w:left="1260"/>
        <w:contextualSpacing/>
        <w:rPr>
          <w:rFonts w:ascii="Source Sans Pro" w:eastAsia="Source Sans Pro" w:hAnsi="Source Sans Pro" w:cs="Source Sans Pro"/>
          <w:lang w:val="en-US"/>
        </w:rPr>
      </w:pPr>
      <w:r w:rsidRPr="004346A9">
        <w:rPr>
          <w:rFonts w:ascii="Source Sans Pro" w:eastAsia="Source Sans Pro" w:hAnsi="Source Sans Pro" w:cs="Source Sans Pro"/>
          <w:lang w:val="en-US"/>
        </w:rPr>
        <w:t>A detailed understanding of the progress on its development</w:t>
      </w:r>
    </w:p>
    <w:p w14:paraId="12C968FF" w14:textId="77777777" w:rsidR="00552523" w:rsidRPr="004346A9" w:rsidRDefault="00552523" w:rsidP="00571B17">
      <w:pPr>
        <w:pStyle w:val="Paragraphedeliste"/>
        <w:numPr>
          <w:ilvl w:val="0"/>
          <w:numId w:val="20"/>
        </w:numPr>
        <w:spacing w:after="160" w:line="259" w:lineRule="auto"/>
        <w:ind w:left="1260"/>
        <w:contextualSpacing/>
        <w:rPr>
          <w:rFonts w:ascii="Source Sans Pro" w:eastAsia="Source Sans Pro" w:hAnsi="Source Sans Pro" w:cs="Source Sans Pro"/>
          <w:lang w:val="en-US"/>
        </w:rPr>
      </w:pPr>
      <w:r w:rsidRPr="004346A9">
        <w:rPr>
          <w:rFonts w:ascii="Source Sans Pro" w:eastAsia="Source Sans Pro" w:hAnsi="Source Sans Pro" w:cs="Source Sans Pro"/>
          <w:lang w:val="en-US"/>
        </w:rPr>
        <w:t>The establishment and monitoring of business-specific and extra financial KPIs which will be reported in our quarterly, bi-annual and annual financial and extra-financial reports</w:t>
      </w:r>
    </w:p>
    <w:p w14:paraId="53CDB482" w14:textId="77777777" w:rsidR="00552523" w:rsidRPr="004346A9" w:rsidRDefault="00552523" w:rsidP="00571B17">
      <w:pPr>
        <w:pStyle w:val="Paragraphedeliste"/>
        <w:numPr>
          <w:ilvl w:val="0"/>
          <w:numId w:val="20"/>
        </w:numPr>
        <w:spacing w:after="160" w:line="259" w:lineRule="auto"/>
        <w:ind w:left="1260"/>
        <w:contextualSpacing/>
        <w:rPr>
          <w:rFonts w:ascii="Source Sans Pro" w:eastAsia="Source Sans Pro" w:hAnsi="Source Sans Pro" w:cs="Source Sans Pro"/>
          <w:lang w:val="en-US"/>
        </w:rPr>
      </w:pPr>
      <w:r w:rsidRPr="004346A9">
        <w:rPr>
          <w:rFonts w:ascii="Source Sans Pro" w:eastAsia="Source Sans Pro" w:hAnsi="Source Sans Pro" w:cs="Source Sans Pro"/>
          <w:lang w:val="en-US"/>
        </w:rPr>
        <w:t xml:space="preserve">An ever deeper and dynamic evaluation of the company’s real potential </w:t>
      </w:r>
    </w:p>
    <w:p w14:paraId="1592D012" w14:textId="77777777" w:rsidR="00552523" w:rsidRPr="004346A9" w:rsidRDefault="00552523" w:rsidP="00571B17">
      <w:pPr>
        <w:ind w:left="540"/>
        <w:rPr>
          <w:rFonts w:ascii="Source Sans Pro" w:eastAsia="Source Sans Pro" w:hAnsi="Source Sans Pro" w:cs="Source Sans Pro"/>
          <w:lang w:val="en-US"/>
        </w:rPr>
      </w:pPr>
      <w:r w:rsidRPr="004346A9">
        <w:rPr>
          <w:rFonts w:ascii="Source Sans Pro" w:eastAsia="Source Sans Pro" w:hAnsi="Source Sans Pro" w:cs="Source Sans Pro"/>
          <w:lang w:val="en-US"/>
        </w:rPr>
        <w:t xml:space="preserve">Board of Directors’ meetings enable the members of the the Fund investment team to have an accurate vision that is close to the companies’ operating reality. This enables them to provide the best advice and support but also to make informed investment decisions. </w:t>
      </w:r>
    </w:p>
    <w:p w14:paraId="3C450B25" w14:textId="73697E6D" w:rsidR="00552523" w:rsidRPr="004346A9" w:rsidRDefault="00552523" w:rsidP="00571B17">
      <w:pPr>
        <w:ind w:left="540"/>
        <w:rPr>
          <w:rFonts w:ascii="Source Sans Pro" w:eastAsia="Source Sans Pro" w:hAnsi="Source Sans Pro" w:cs="Source Sans Pro"/>
          <w:lang w:val="en-US"/>
        </w:rPr>
      </w:pPr>
      <w:r w:rsidRPr="004346A9">
        <w:rPr>
          <w:rFonts w:ascii="Source Sans Pro" w:eastAsia="Source Sans Pro" w:hAnsi="Source Sans Pro" w:cs="Source Sans Pro"/>
          <w:lang w:val="en-US"/>
        </w:rPr>
        <w:lastRenderedPageBreak/>
        <w:t>One of Elaia Partners’ regular contributions is also the appointment to Boards of high-profile, independent Board Directors. These independent Board Directors, often proposed from within Elaia Partners’ network, have expert industry profiles and can thus make a strong contribution to the quality of strategic discussions.</w:t>
      </w:r>
    </w:p>
    <w:p w14:paraId="236BAF8B" w14:textId="5BC44175" w:rsidR="00AB1EEE" w:rsidRPr="004346A9" w:rsidRDefault="00AB1EEE" w:rsidP="00AB1EEE">
      <w:pPr>
        <w:rPr>
          <w:rFonts w:ascii="Source Sans Pro" w:hAnsi="Source Sans Pro" w:cs="Times New Roman"/>
          <w:lang w:val="en-US"/>
        </w:rPr>
      </w:pPr>
    </w:p>
    <w:p w14:paraId="753A38A4" w14:textId="238935B7" w:rsidR="00AB1EEE" w:rsidRPr="004346A9" w:rsidRDefault="00AB1EEE" w:rsidP="00AB1EEE">
      <w:pPr>
        <w:rPr>
          <w:rFonts w:ascii="Source Sans Pro" w:hAnsi="Source Sans Pro" w:cs="Times New Roman"/>
        </w:rPr>
      </w:pPr>
      <w:r w:rsidRPr="004346A9">
        <w:rPr>
          <w:rFonts w:ascii="Source Sans Pro" w:hAnsi="Source Sans Pro"/>
          <w:noProof/>
        </w:rPr>
        <w:drawing>
          <wp:anchor distT="0" distB="0" distL="114300" distR="114300" simplePos="0" relativeHeight="251662336" behindDoc="1" locked="0" layoutInCell="1" hidden="0" allowOverlap="1" wp14:anchorId="1F240D27" wp14:editId="2F73380D">
            <wp:simplePos x="0" y="0"/>
            <wp:positionH relativeFrom="column">
              <wp:posOffset>-37465</wp:posOffset>
            </wp:positionH>
            <wp:positionV relativeFrom="paragraph">
              <wp:posOffset>109855</wp:posOffset>
            </wp:positionV>
            <wp:extent cx="924485" cy="523875"/>
            <wp:effectExtent l="0" t="0" r="0" b="0"/>
            <wp:wrapNone/>
            <wp:docPr id="12" name="image11.png" descr="Une image contenant diagramm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1.png" descr="Une image contenant diagramme&#10;&#10;Description générée automatiquement"/>
                    <pic:cNvPicPr preferRelativeResize="0"/>
                  </pic:nvPicPr>
                  <pic:blipFill>
                    <a:blip r:embed="rId13"/>
                    <a:srcRect/>
                    <a:stretch>
                      <a:fillRect/>
                    </a:stretch>
                  </pic:blipFill>
                  <pic:spPr>
                    <a:xfrm>
                      <a:off x="0" y="0"/>
                      <a:ext cx="924485" cy="523875"/>
                    </a:xfrm>
                    <a:prstGeom prst="rect">
                      <a:avLst/>
                    </a:prstGeom>
                    <a:ln/>
                  </pic:spPr>
                </pic:pic>
              </a:graphicData>
            </a:graphic>
          </wp:anchor>
        </w:drawing>
      </w:r>
    </w:p>
    <w:p w14:paraId="559BE0EA" w14:textId="50D99CCE" w:rsidR="00AB1EEE" w:rsidRPr="004346A9" w:rsidRDefault="00AB1EEE" w:rsidP="00AB1EEE">
      <w:pPr>
        <w:ind w:left="567"/>
        <w:rPr>
          <w:rFonts w:ascii="Source Sans Pro" w:hAnsi="Source Sans Pro" w:cs="Times New Roman"/>
        </w:rPr>
      </w:pPr>
    </w:p>
    <w:p w14:paraId="58105C3B" w14:textId="6CEBE204" w:rsidR="00AB1EEE" w:rsidRPr="004346A9" w:rsidRDefault="00AB1EEE" w:rsidP="00AB1EEE">
      <w:pPr>
        <w:numPr>
          <w:ilvl w:val="3"/>
          <w:numId w:val="15"/>
        </w:numPr>
        <w:ind w:left="2250"/>
        <w:rPr>
          <w:rFonts w:ascii="Source Sans Pro" w:hAnsi="Source Sans Pro" w:cs="Times New Roman"/>
        </w:rPr>
      </w:pPr>
      <w:r w:rsidRPr="004346A9">
        <w:rPr>
          <w:rFonts w:ascii="Source Sans Pro" w:hAnsi="Source Sans Pro" w:cs="Times New Roman"/>
          <w:b/>
        </w:rPr>
        <w:t>What is the asset allocation</w:t>
      </w:r>
      <w:r w:rsidR="00A21C2F">
        <w:rPr>
          <w:rFonts w:ascii="Source Sans Pro" w:hAnsi="Source Sans Pro" w:cs="Times New Roman"/>
          <w:b/>
          <w:vertAlign w:val="superscript"/>
        </w:rPr>
        <w:t xml:space="preserve"> </w:t>
      </w:r>
      <w:r w:rsidRPr="004346A9">
        <w:rPr>
          <w:rFonts w:ascii="Source Sans Pro" w:hAnsi="Source Sans Pro" w:cs="Times New Roman"/>
          <w:b/>
        </w:rPr>
        <w:t>planned for this financial product?</w:t>
      </w:r>
    </w:p>
    <w:p w14:paraId="06AF1A81" w14:textId="304A9503" w:rsidR="00AB1EEE" w:rsidRPr="004346A9" w:rsidRDefault="00CF26EA" w:rsidP="00AB1EEE">
      <w:pPr>
        <w:rPr>
          <w:rFonts w:ascii="Source Sans Pro" w:hAnsi="Source Sans Pro" w:cs="Times New Roman"/>
        </w:rPr>
      </w:pPr>
      <w:r w:rsidRPr="00776340">
        <w:rPr>
          <w:rFonts w:ascii="Calibri" w:eastAsia="Calibri" w:hAnsi="Calibri"/>
          <w:noProof/>
        </w:rPr>
        <mc:AlternateContent>
          <mc:Choice Requires="wps">
            <w:drawing>
              <wp:anchor distT="0" distB="0" distL="114300" distR="114300" simplePos="0" relativeHeight="251696128" behindDoc="0" locked="0" layoutInCell="1" allowOverlap="1" wp14:anchorId="1D3865EC" wp14:editId="1484718B">
                <wp:simplePos x="0" y="0"/>
                <wp:positionH relativeFrom="page">
                  <wp:posOffset>104140</wp:posOffset>
                </wp:positionH>
                <wp:positionV relativeFrom="margin">
                  <wp:posOffset>1629209</wp:posOffset>
                </wp:positionV>
                <wp:extent cx="1026160" cy="937895"/>
                <wp:effectExtent l="0" t="0" r="2540" b="1905"/>
                <wp:wrapSquare wrapText="bothSides"/>
                <wp:docPr id="1111083675" name="Rectangle 1111083675"/>
                <wp:cNvGraphicFramePr/>
                <a:graphic xmlns:a="http://schemas.openxmlformats.org/drawingml/2006/main">
                  <a:graphicData uri="http://schemas.microsoft.com/office/word/2010/wordprocessingShape">
                    <wps:wsp>
                      <wps:cNvSpPr/>
                      <wps:spPr>
                        <a:xfrm>
                          <a:off x="0" y="0"/>
                          <a:ext cx="1026160" cy="937895"/>
                        </a:xfrm>
                        <a:prstGeom prst="rect">
                          <a:avLst/>
                        </a:prstGeom>
                        <a:solidFill>
                          <a:sysClr val="window" lastClr="FFFFFF">
                            <a:lumMod val="95000"/>
                          </a:sysClr>
                        </a:solidFill>
                        <a:ln w="12700" cap="flat" cmpd="sng" algn="ctr">
                          <a:noFill/>
                          <a:prstDash val="solid"/>
                          <a:miter lim="800000"/>
                        </a:ln>
                        <a:effectLst/>
                      </wps:spPr>
                      <wps:txbx>
                        <w:txbxContent>
                          <w:p w14:paraId="75ED96EE" w14:textId="68EE6AFA" w:rsidR="00D21FBB" w:rsidRPr="00D21FBB" w:rsidRDefault="00D21FBB" w:rsidP="00D21FBB">
                            <w:pPr>
                              <w:ind w:left="-142"/>
                              <w:rPr>
                                <w:rFonts w:asciiTheme="minorHAnsi" w:hAnsiTheme="minorHAnsi" w:cstheme="minorHAnsi"/>
                                <w:b/>
                                <w:bCs/>
                                <w:color w:val="000000"/>
                                <w:sz w:val="18"/>
                                <w:szCs w:val="21"/>
                              </w:rPr>
                            </w:pPr>
                            <w:r w:rsidRPr="00D21FBB">
                              <w:rPr>
                                <w:rFonts w:asciiTheme="minorHAnsi" w:hAnsiTheme="minorHAnsi" w:cstheme="minorHAnsi"/>
                                <w:b/>
                                <w:bCs/>
                                <w:color w:val="000000"/>
                                <w:sz w:val="18"/>
                                <w:szCs w:val="21"/>
                              </w:rPr>
                              <w:t xml:space="preserve">Asset allocation </w:t>
                            </w:r>
                            <w:r w:rsidRPr="00D21FBB">
                              <w:rPr>
                                <w:rFonts w:asciiTheme="minorHAnsi" w:hAnsiTheme="minorHAnsi" w:cstheme="minorHAnsi"/>
                                <w:bCs/>
                                <w:color w:val="000000"/>
                                <w:sz w:val="18"/>
                                <w:szCs w:val="21"/>
                              </w:rPr>
                              <w:t>describes the share of investments in specific assets.</w:t>
                            </w:r>
                          </w:p>
                          <w:p w14:paraId="2305ED6F" w14:textId="36C4225F" w:rsidR="00D21FBB" w:rsidRPr="00D21FBB" w:rsidRDefault="00D21FBB" w:rsidP="00D21FBB">
                            <w:pPr>
                              <w:ind w:left="-142" w:right="-272"/>
                              <w:rPr>
                                <w:rFonts w:asciiTheme="minorHAnsi" w:hAnsiTheme="minorHAnsi" w:cstheme="minorHAnsi"/>
                                <w:b/>
                                <w:bCs/>
                                <w:color w:val="000000"/>
                                <w:sz w:val="16"/>
                                <w:szCs w:val="20"/>
                              </w:rPr>
                            </w:pPr>
                          </w:p>
                          <w:p w14:paraId="3572855B" w14:textId="77777777" w:rsidR="00D21FBB" w:rsidRPr="00D21FBB" w:rsidRDefault="00D21FBB" w:rsidP="00D21FBB">
                            <w:pPr>
                              <w:ind w:left="-142"/>
                              <w:rPr>
                                <w:rFonts w:asciiTheme="minorHAnsi" w:hAnsiTheme="minorHAnsi" w:cstheme="minorHAnsi"/>
                                <w:color w:val="000000"/>
                                <w:sz w:val="20"/>
                                <w:szCs w:val="2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865EC" id="Rectangle 1111083675" o:spid="_x0000_s1032" style="position:absolute;left:0;text-align:left;margin-left:8.2pt;margin-top:128.3pt;width:80.8pt;height:73.8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" fillcolor="#f2f2f2" stroked="f" strokeweight="1pt">
                <v:textbox inset="4mm,1mm,7mm">
                  <w:txbxContent>
                    <w:p w14:paraId="75ED96EE" w14:textId="68EE6AFA" w:rsidR="00D21FBB" w:rsidRPr="00D21FBB" w:rsidRDefault="00D21FBB" w:rsidP="00D21FBB">
                      <w:pPr>
                        <w:ind w:left="-142"/>
                        <w:rPr>
                          <w:rFonts w:asciiTheme="minorHAnsi" w:hAnsiTheme="minorHAnsi" w:cstheme="minorHAnsi"/>
                          <w:b/>
                          <w:bCs/>
                          <w:color w:val="000000"/>
                          <w:sz w:val="18"/>
                          <w:szCs w:val="21"/>
                        </w:rPr>
                      </w:pPr>
                      <w:r w:rsidRPr="00D21FBB">
                        <w:rPr>
                          <w:rFonts w:asciiTheme="minorHAnsi" w:hAnsiTheme="minorHAnsi" w:cstheme="minorHAnsi"/>
                          <w:b/>
                          <w:bCs/>
                          <w:color w:val="000000"/>
                          <w:sz w:val="18"/>
                          <w:szCs w:val="21"/>
                        </w:rPr>
                        <w:t xml:space="preserve">Asset allocation </w:t>
                      </w:r>
                      <w:r w:rsidRPr="00D21FBB">
                        <w:rPr>
                          <w:rFonts w:asciiTheme="minorHAnsi" w:hAnsiTheme="minorHAnsi" w:cstheme="minorHAnsi"/>
                          <w:bCs/>
                          <w:color w:val="000000"/>
                          <w:sz w:val="18"/>
                          <w:szCs w:val="21"/>
                        </w:rPr>
                        <w:t>describes the share of investments in specific assets.</w:t>
                      </w:r>
                    </w:p>
                    <w:p w14:paraId="2305ED6F" w14:textId="36C4225F" w:rsidR="00D21FBB" w:rsidRPr="00D21FBB" w:rsidRDefault="00D21FBB" w:rsidP="00D21FBB">
                      <w:pPr>
                        <w:ind w:left="-142" w:right="-272"/>
                        <w:rPr>
                          <w:rFonts w:asciiTheme="minorHAnsi" w:hAnsiTheme="minorHAnsi" w:cstheme="minorHAnsi"/>
                          <w:b/>
                          <w:bCs/>
                          <w:color w:val="000000"/>
                          <w:sz w:val="16"/>
                          <w:szCs w:val="20"/>
                        </w:rPr>
                      </w:pPr>
                    </w:p>
                    <w:p w14:paraId="3572855B" w14:textId="77777777" w:rsidR="00D21FBB" w:rsidRPr="00D21FBB" w:rsidRDefault="00D21FBB" w:rsidP="00D21FBB">
                      <w:pPr>
                        <w:ind w:left="-142"/>
                        <w:rPr>
                          <w:rFonts w:asciiTheme="minorHAnsi" w:hAnsiTheme="minorHAnsi" w:cstheme="minorHAnsi"/>
                          <w:color w:val="000000"/>
                          <w:sz w:val="20"/>
                          <w:szCs w:val="20"/>
                        </w:rPr>
                      </w:pPr>
                    </w:p>
                  </w:txbxContent>
                </v:textbox>
                <w10:wrap type="square" anchorx="page" anchory="margin"/>
              </v:rect>
            </w:pict>
          </mc:Fallback>
        </mc:AlternateContent>
      </w:r>
    </w:p>
    <w:p w14:paraId="06987CE4" w14:textId="271459F0" w:rsidR="00AB1EEE" w:rsidRPr="004346A9" w:rsidRDefault="00AB1EEE" w:rsidP="00571B17">
      <w:pPr>
        <w:ind w:left="708"/>
        <w:rPr>
          <w:rFonts w:ascii="Source Sans Pro" w:hAnsi="Source Sans Pro" w:cs="Times New Roman"/>
        </w:rPr>
      </w:pPr>
      <w:r w:rsidRPr="004346A9">
        <w:rPr>
          <w:rFonts w:ascii="Source Sans Pro" w:hAnsi="Source Sans Pro" w:cs="Times New Roman"/>
        </w:rPr>
        <w:t xml:space="preserve">The composition of the Fund’s assets is defined in </w:t>
      </w:r>
      <w:r w:rsidRPr="00581B38">
        <w:rPr>
          <w:rFonts w:ascii="Source Sans Pro" w:hAnsi="Source Sans Pro" w:cs="Times New Roman"/>
        </w:rPr>
        <w:t>accordance with Article 3.2 of the</w:t>
      </w:r>
      <w:r w:rsidRPr="004346A9">
        <w:rPr>
          <w:rFonts w:ascii="Source Sans Pro" w:hAnsi="Source Sans Pro" w:cs="Times New Roman"/>
        </w:rPr>
        <w:t xml:space="preserve"> By-Laws.</w:t>
      </w:r>
    </w:p>
    <w:p w14:paraId="22FBE8E2" w14:textId="7B7285AD" w:rsidR="00AB1EEE" w:rsidRPr="004346A9" w:rsidRDefault="00AB1EEE" w:rsidP="00571B17">
      <w:pPr>
        <w:ind w:left="708"/>
        <w:rPr>
          <w:rFonts w:ascii="Source Sans Pro" w:hAnsi="Source Sans Pro" w:cs="Times New Roman"/>
        </w:rPr>
      </w:pPr>
    </w:p>
    <w:p w14:paraId="6ED7F2E3" w14:textId="40C50E78" w:rsidR="00D15428" w:rsidRPr="004346A9" w:rsidRDefault="00CF26EA" w:rsidP="00571B17">
      <w:pPr>
        <w:ind w:left="708"/>
        <w:rPr>
          <w:rFonts w:ascii="Source Sans Pro" w:hAnsi="Source Sans Pro" w:cs="Times New Roman"/>
          <w:lang w:val="en-US"/>
        </w:rPr>
      </w:pPr>
      <w:r w:rsidRPr="003A1C01">
        <w:rPr>
          <w:rFonts w:ascii="Calibri" w:hAnsi="Calibri"/>
          <w:noProof/>
          <w:szCs w:val="24"/>
        </w:rPr>
        <mc:AlternateContent>
          <mc:Choice Requires="wps">
            <w:drawing>
              <wp:anchor distT="0" distB="0" distL="114300" distR="114300" simplePos="0" relativeHeight="251685888" behindDoc="0" locked="0" layoutInCell="1" allowOverlap="1" wp14:anchorId="5934D2FD" wp14:editId="02AF9211">
                <wp:simplePos x="0" y="0"/>
                <wp:positionH relativeFrom="page">
                  <wp:posOffset>104140</wp:posOffset>
                </wp:positionH>
                <wp:positionV relativeFrom="margin">
                  <wp:posOffset>2595011</wp:posOffset>
                </wp:positionV>
                <wp:extent cx="1026160" cy="4563745"/>
                <wp:effectExtent l="0" t="0" r="2540" b="0"/>
                <wp:wrapSquare wrapText="bothSides"/>
                <wp:docPr id="549996794" name="Rectangle 549996794"/>
                <wp:cNvGraphicFramePr/>
                <a:graphic xmlns:a="http://schemas.openxmlformats.org/drawingml/2006/main">
                  <a:graphicData uri="http://schemas.microsoft.com/office/word/2010/wordprocessingShape">
                    <wps:wsp>
                      <wps:cNvSpPr/>
                      <wps:spPr>
                        <a:xfrm>
                          <a:off x="0" y="0"/>
                          <a:ext cx="1026160" cy="4563745"/>
                        </a:xfrm>
                        <a:prstGeom prst="rect">
                          <a:avLst/>
                        </a:prstGeom>
                        <a:solidFill>
                          <a:sysClr val="window" lastClr="FFFFFF">
                            <a:lumMod val="95000"/>
                          </a:sysClr>
                        </a:solidFill>
                        <a:ln w="12700" cap="flat" cmpd="sng" algn="ctr">
                          <a:noFill/>
                          <a:prstDash val="solid"/>
                          <a:miter lim="800000"/>
                        </a:ln>
                        <a:effectLst/>
                      </wps:spPr>
                      <wps:txbx>
                        <w:txbxContent>
                          <w:p w14:paraId="6B472D5C" w14:textId="77777777" w:rsidR="00457493" w:rsidRPr="00457493" w:rsidRDefault="00457493" w:rsidP="00457493">
                            <w:pPr>
                              <w:ind w:left="-142" w:right="-272"/>
                              <w:rPr>
                                <w:rFonts w:asciiTheme="minorHAnsi" w:hAnsiTheme="minorHAnsi" w:cstheme="minorHAnsi"/>
                                <w:bCs/>
                                <w:color w:val="000000"/>
                                <w:sz w:val="18"/>
                                <w:szCs w:val="21"/>
                              </w:rPr>
                            </w:pPr>
                            <w:r w:rsidRPr="00457493">
                              <w:rPr>
                                <w:rFonts w:asciiTheme="minorHAnsi" w:hAnsiTheme="minorHAnsi" w:cstheme="minorHAnsi"/>
                                <w:bCs/>
                                <w:color w:val="000000"/>
                                <w:sz w:val="18"/>
                                <w:szCs w:val="21"/>
                              </w:rPr>
                              <w:t>Taxonomy-aligned activities are expressed as a share of:</w:t>
                            </w:r>
                          </w:p>
                          <w:p w14:paraId="24A41C42" w14:textId="77777777" w:rsidR="00457493" w:rsidRPr="00457493" w:rsidRDefault="00457493" w:rsidP="00457493">
                            <w:pPr>
                              <w:pStyle w:val="Paragraphedeliste"/>
                              <w:numPr>
                                <w:ilvl w:val="0"/>
                                <w:numId w:val="21"/>
                              </w:numPr>
                              <w:ind w:left="0" w:right="-272" w:hanging="142"/>
                              <w:contextualSpacing/>
                              <w:jc w:val="left"/>
                              <w:rPr>
                                <w:rFonts w:asciiTheme="minorHAnsi" w:hAnsiTheme="minorHAnsi" w:cstheme="minorHAnsi"/>
                                <w:bCs/>
                                <w:color w:val="000000"/>
                                <w:sz w:val="18"/>
                                <w:szCs w:val="21"/>
                              </w:rPr>
                            </w:pPr>
                            <w:r w:rsidRPr="00457493">
                              <w:rPr>
                                <w:rFonts w:asciiTheme="minorHAnsi" w:hAnsiTheme="minorHAnsi" w:cstheme="minorHAnsi"/>
                                <w:bCs/>
                                <w:color w:val="000000"/>
                                <w:sz w:val="18"/>
                                <w:szCs w:val="21"/>
                              </w:rPr>
                              <w:t xml:space="preserve"> </w:t>
                            </w:r>
                            <w:r w:rsidRPr="00457493">
                              <w:rPr>
                                <w:rFonts w:asciiTheme="minorHAnsi" w:hAnsiTheme="minorHAnsi" w:cstheme="minorHAnsi"/>
                                <w:b/>
                                <w:bCs/>
                                <w:color w:val="000000"/>
                                <w:sz w:val="18"/>
                                <w:szCs w:val="21"/>
                              </w:rPr>
                              <w:t>turnover</w:t>
                            </w:r>
                            <w:r w:rsidRPr="00457493">
                              <w:rPr>
                                <w:rFonts w:asciiTheme="minorHAnsi" w:hAnsiTheme="minorHAnsi" w:cstheme="minorHAnsi"/>
                                <w:bCs/>
                                <w:color w:val="000000"/>
                                <w:sz w:val="18"/>
                                <w:szCs w:val="21"/>
                              </w:rPr>
                              <w:t xml:space="preserve"> reflecting the share of revenue from green activities of investee companies</w:t>
                            </w:r>
                          </w:p>
                          <w:p w14:paraId="46DCD0F0" w14:textId="77777777" w:rsidR="00457493" w:rsidRPr="00457493" w:rsidRDefault="00457493" w:rsidP="00457493">
                            <w:pPr>
                              <w:pStyle w:val="Paragraphedeliste"/>
                              <w:numPr>
                                <w:ilvl w:val="0"/>
                                <w:numId w:val="21"/>
                              </w:numPr>
                              <w:ind w:left="0" w:right="-272" w:hanging="142"/>
                              <w:contextualSpacing/>
                              <w:jc w:val="left"/>
                              <w:rPr>
                                <w:rFonts w:asciiTheme="minorHAnsi" w:hAnsiTheme="minorHAnsi" w:cstheme="minorHAnsi"/>
                                <w:bCs/>
                                <w:color w:val="000000"/>
                                <w:sz w:val="18"/>
                                <w:szCs w:val="21"/>
                              </w:rPr>
                            </w:pPr>
                            <w:r w:rsidRPr="00457493">
                              <w:rPr>
                                <w:rFonts w:asciiTheme="minorHAnsi" w:hAnsiTheme="minorHAnsi" w:cstheme="minorHAnsi"/>
                                <w:b/>
                                <w:bCs/>
                                <w:color w:val="000000"/>
                                <w:sz w:val="18"/>
                                <w:szCs w:val="21"/>
                              </w:rPr>
                              <w:t>capital expenditure</w:t>
                            </w:r>
                            <w:r w:rsidRPr="00457493">
                              <w:rPr>
                                <w:rFonts w:asciiTheme="minorHAnsi" w:hAnsiTheme="minorHAnsi" w:cstheme="minorHAnsi"/>
                                <w:bCs/>
                                <w:color w:val="000000"/>
                                <w:sz w:val="18"/>
                                <w:szCs w:val="21"/>
                              </w:rPr>
                              <w:t xml:space="preserve"> (CapEx) showing the green investments made by investee companies, e.g. for a transition to a green economy. </w:t>
                            </w:r>
                          </w:p>
                          <w:p w14:paraId="5F15A8F5" w14:textId="20487389" w:rsidR="00457493" w:rsidRPr="00457493" w:rsidRDefault="00457493" w:rsidP="00457493">
                            <w:pPr>
                              <w:rPr>
                                <w:color w:val="000000"/>
                                <w:sz w:val="16"/>
                                <w:szCs w:val="20"/>
                              </w:rPr>
                            </w:pPr>
                            <w:r w:rsidRPr="00457493">
                              <w:rPr>
                                <w:rFonts w:asciiTheme="minorHAnsi" w:hAnsiTheme="minorHAnsi" w:cstheme="minorHAnsi"/>
                                <w:b/>
                                <w:bCs/>
                                <w:color w:val="000000"/>
                                <w:sz w:val="18"/>
                                <w:szCs w:val="21"/>
                              </w:rPr>
                              <w:t>operational expenditure</w:t>
                            </w:r>
                            <w:r w:rsidRPr="00457493">
                              <w:rPr>
                                <w:rFonts w:asciiTheme="minorHAnsi" w:hAnsiTheme="minorHAnsi" w:cstheme="minorHAnsi"/>
                                <w:bCs/>
                                <w:color w:val="000000"/>
                                <w:sz w:val="18"/>
                                <w:szCs w:val="21"/>
                              </w:rPr>
                              <w:t xml:space="preserve"> (OpEx) reflecting</w:t>
                            </w:r>
                            <w:r w:rsidRPr="00457493">
                              <w:rPr>
                                <w:rFonts w:asciiTheme="minorHAnsi" w:hAnsiTheme="minorHAnsi" w:cstheme="minorHAnsi"/>
                                <w:color w:val="000000"/>
                                <w:sz w:val="18"/>
                                <w:szCs w:val="21"/>
                              </w:rPr>
                              <w:t xml:space="preserve"> green operational activities o</w:t>
                            </w:r>
                            <w:r w:rsidRPr="00457493">
                              <w:rPr>
                                <w:rFonts w:asciiTheme="minorHAnsi" w:hAnsiTheme="minorHAnsi" w:cstheme="minorHAnsi"/>
                                <w:bCs/>
                                <w:color w:val="000000"/>
                                <w:sz w:val="18"/>
                                <w:szCs w:val="21"/>
                              </w:rPr>
                              <w:t>f investee companies.</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4D2FD" id="Rectangle 549996794" o:spid="_x0000_s1033" style="position:absolute;left:0;text-align:left;margin-left:8.2pt;margin-top:204.35pt;width:80.8pt;height:359.3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" fillcolor="#f2f2f2" stroked="f" strokeweight="1pt">
                <v:textbox inset="4mm,1mm,7mm">
                  <w:txbxContent>
                    <w:p w14:paraId="6B472D5C" w14:textId="77777777" w:rsidR="00457493" w:rsidRPr="00457493" w:rsidRDefault="00457493" w:rsidP="00457493">
                      <w:pPr>
                        <w:ind w:left="-142" w:right="-272"/>
                        <w:rPr>
                          <w:rFonts w:asciiTheme="minorHAnsi" w:hAnsiTheme="minorHAnsi" w:cstheme="minorHAnsi"/>
                          <w:bCs/>
                          <w:color w:val="000000"/>
                          <w:sz w:val="18"/>
                          <w:szCs w:val="21"/>
                        </w:rPr>
                      </w:pPr>
                      <w:r w:rsidRPr="00457493">
                        <w:rPr>
                          <w:rFonts w:asciiTheme="minorHAnsi" w:hAnsiTheme="minorHAnsi" w:cstheme="minorHAnsi"/>
                          <w:bCs/>
                          <w:color w:val="000000"/>
                          <w:sz w:val="18"/>
                          <w:szCs w:val="21"/>
                        </w:rPr>
                        <w:t>Taxonomy-aligned activities are expressed as a share of:</w:t>
                      </w:r>
                    </w:p>
                    <w:p w14:paraId="24A41C42" w14:textId="77777777" w:rsidR="00457493" w:rsidRPr="00457493" w:rsidRDefault="00457493" w:rsidP="00457493">
                      <w:pPr>
                        <w:pStyle w:val="Paragraphedeliste"/>
                        <w:numPr>
                          <w:ilvl w:val="0"/>
                          <w:numId w:val="21"/>
                        </w:numPr>
                        <w:ind w:left="0" w:right="-272" w:hanging="142"/>
                        <w:contextualSpacing/>
                        <w:jc w:val="left"/>
                        <w:rPr>
                          <w:rFonts w:asciiTheme="minorHAnsi" w:hAnsiTheme="minorHAnsi" w:cstheme="minorHAnsi"/>
                          <w:bCs/>
                          <w:color w:val="000000"/>
                          <w:sz w:val="18"/>
                          <w:szCs w:val="21"/>
                        </w:rPr>
                      </w:pPr>
                      <w:r w:rsidRPr="00457493">
                        <w:rPr>
                          <w:rFonts w:asciiTheme="minorHAnsi" w:hAnsiTheme="minorHAnsi" w:cstheme="minorHAnsi"/>
                          <w:bCs/>
                          <w:color w:val="000000"/>
                          <w:sz w:val="18"/>
                          <w:szCs w:val="21"/>
                        </w:rPr>
                        <w:t xml:space="preserve"> </w:t>
                      </w:r>
                      <w:r w:rsidRPr="00457493">
                        <w:rPr>
                          <w:rFonts w:asciiTheme="minorHAnsi" w:hAnsiTheme="minorHAnsi" w:cstheme="minorHAnsi"/>
                          <w:b/>
                          <w:bCs/>
                          <w:color w:val="000000"/>
                          <w:sz w:val="18"/>
                          <w:szCs w:val="21"/>
                        </w:rPr>
                        <w:t>turnover</w:t>
                      </w:r>
                      <w:r w:rsidRPr="00457493">
                        <w:rPr>
                          <w:rFonts w:asciiTheme="minorHAnsi" w:hAnsiTheme="minorHAnsi" w:cstheme="minorHAnsi"/>
                          <w:bCs/>
                          <w:color w:val="000000"/>
                          <w:sz w:val="18"/>
                          <w:szCs w:val="21"/>
                        </w:rPr>
                        <w:t xml:space="preserve"> reflecting the share of revenue from green activities of investee </w:t>
                      </w:r>
                      <w:proofErr w:type="gramStart"/>
                      <w:r w:rsidRPr="00457493">
                        <w:rPr>
                          <w:rFonts w:asciiTheme="minorHAnsi" w:hAnsiTheme="minorHAnsi" w:cstheme="minorHAnsi"/>
                          <w:bCs/>
                          <w:color w:val="000000"/>
                          <w:sz w:val="18"/>
                          <w:szCs w:val="21"/>
                        </w:rPr>
                        <w:t>companies</w:t>
                      </w:r>
                      <w:proofErr w:type="gramEnd"/>
                    </w:p>
                    <w:p w14:paraId="46DCD0F0" w14:textId="77777777" w:rsidR="00457493" w:rsidRPr="00457493" w:rsidRDefault="00457493" w:rsidP="00457493">
                      <w:pPr>
                        <w:pStyle w:val="Paragraphedeliste"/>
                        <w:numPr>
                          <w:ilvl w:val="0"/>
                          <w:numId w:val="21"/>
                        </w:numPr>
                        <w:ind w:left="0" w:right="-272" w:hanging="142"/>
                        <w:contextualSpacing/>
                        <w:jc w:val="left"/>
                        <w:rPr>
                          <w:rFonts w:asciiTheme="minorHAnsi" w:hAnsiTheme="minorHAnsi" w:cstheme="minorHAnsi"/>
                          <w:bCs/>
                          <w:color w:val="000000"/>
                          <w:sz w:val="18"/>
                          <w:szCs w:val="21"/>
                        </w:rPr>
                      </w:pPr>
                      <w:r w:rsidRPr="00457493">
                        <w:rPr>
                          <w:rFonts w:asciiTheme="minorHAnsi" w:hAnsiTheme="minorHAnsi" w:cstheme="minorHAnsi"/>
                          <w:b/>
                          <w:bCs/>
                          <w:color w:val="000000"/>
                          <w:sz w:val="18"/>
                          <w:szCs w:val="21"/>
                        </w:rPr>
                        <w:t>capital expenditure</w:t>
                      </w:r>
                      <w:r w:rsidRPr="00457493">
                        <w:rPr>
                          <w:rFonts w:asciiTheme="minorHAnsi" w:hAnsiTheme="minorHAnsi" w:cstheme="minorHAnsi"/>
                          <w:bCs/>
                          <w:color w:val="000000"/>
                          <w:sz w:val="18"/>
                          <w:szCs w:val="21"/>
                        </w:rPr>
                        <w:t xml:space="preserve"> (</w:t>
                      </w:r>
                      <w:proofErr w:type="spellStart"/>
                      <w:r w:rsidRPr="00457493">
                        <w:rPr>
                          <w:rFonts w:asciiTheme="minorHAnsi" w:hAnsiTheme="minorHAnsi" w:cstheme="minorHAnsi"/>
                          <w:bCs/>
                          <w:color w:val="000000"/>
                          <w:sz w:val="18"/>
                          <w:szCs w:val="21"/>
                        </w:rPr>
                        <w:t>CapEx</w:t>
                      </w:r>
                      <w:proofErr w:type="spellEnd"/>
                      <w:r w:rsidRPr="00457493">
                        <w:rPr>
                          <w:rFonts w:asciiTheme="minorHAnsi" w:hAnsiTheme="minorHAnsi" w:cstheme="minorHAnsi"/>
                          <w:bCs/>
                          <w:color w:val="000000"/>
                          <w:sz w:val="18"/>
                          <w:szCs w:val="21"/>
                        </w:rPr>
                        <w:t xml:space="preserve">) showing the green investments made by investee companies, </w:t>
                      </w:r>
                      <w:proofErr w:type="gramStart"/>
                      <w:r w:rsidRPr="00457493">
                        <w:rPr>
                          <w:rFonts w:asciiTheme="minorHAnsi" w:hAnsiTheme="minorHAnsi" w:cstheme="minorHAnsi"/>
                          <w:bCs/>
                          <w:color w:val="000000"/>
                          <w:sz w:val="18"/>
                          <w:szCs w:val="21"/>
                        </w:rPr>
                        <w:t>e.g.</w:t>
                      </w:r>
                      <w:proofErr w:type="gramEnd"/>
                      <w:r w:rsidRPr="00457493">
                        <w:rPr>
                          <w:rFonts w:asciiTheme="minorHAnsi" w:hAnsiTheme="minorHAnsi" w:cstheme="minorHAnsi"/>
                          <w:bCs/>
                          <w:color w:val="000000"/>
                          <w:sz w:val="18"/>
                          <w:szCs w:val="21"/>
                        </w:rPr>
                        <w:t xml:space="preserve"> for a transition to a green economy. </w:t>
                      </w:r>
                    </w:p>
                    <w:p w14:paraId="5F15A8F5" w14:textId="20487389" w:rsidR="00457493" w:rsidRPr="00457493" w:rsidRDefault="00457493" w:rsidP="00457493">
                      <w:pPr>
                        <w:rPr>
                          <w:color w:val="000000"/>
                          <w:sz w:val="16"/>
                          <w:szCs w:val="20"/>
                        </w:rPr>
                      </w:pPr>
                      <w:r w:rsidRPr="00457493">
                        <w:rPr>
                          <w:rFonts w:asciiTheme="minorHAnsi" w:hAnsiTheme="minorHAnsi" w:cstheme="minorHAnsi"/>
                          <w:b/>
                          <w:bCs/>
                          <w:color w:val="000000"/>
                          <w:sz w:val="18"/>
                          <w:szCs w:val="21"/>
                        </w:rPr>
                        <w:t>operational expenditure</w:t>
                      </w:r>
                      <w:r w:rsidRPr="00457493">
                        <w:rPr>
                          <w:rFonts w:asciiTheme="minorHAnsi" w:hAnsiTheme="minorHAnsi" w:cstheme="minorHAnsi"/>
                          <w:bCs/>
                          <w:color w:val="000000"/>
                          <w:sz w:val="18"/>
                          <w:szCs w:val="21"/>
                        </w:rPr>
                        <w:t xml:space="preserve"> (</w:t>
                      </w:r>
                      <w:proofErr w:type="spellStart"/>
                      <w:r w:rsidRPr="00457493">
                        <w:rPr>
                          <w:rFonts w:asciiTheme="minorHAnsi" w:hAnsiTheme="minorHAnsi" w:cstheme="minorHAnsi"/>
                          <w:bCs/>
                          <w:color w:val="000000"/>
                          <w:sz w:val="18"/>
                          <w:szCs w:val="21"/>
                        </w:rPr>
                        <w:t>OpEx</w:t>
                      </w:r>
                      <w:proofErr w:type="spellEnd"/>
                      <w:r w:rsidRPr="00457493">
                        <w:rPr>
                          <w:rFonts w:asciiTheme="minorHAnsi" w:hAnsiTheme="minorHAnsi" w:cstheme="minorHAnsi"/>
                          <w:bCs/>
                          <w:color w:val="000000"/>
                          <w:sz w:val="18"/>
                          <w:szCs w:val="21"/>
                        </w:rPr>
                        <w:t>) reflecting</w:t>
                      </w:r>
                      <w:r w:rsidRPr="00457493">
                        <w:rPr>
                          <w:rFonts w:asciiTheme="minorHAnsi" w:hAnsiTheme="minorHAnsi" w:cstheme="minorHAnsi"/>
                          <w:color w:val="000000"/>
                          <w:sz w:val="18"/>
                          <w:szCs w:val="21"/>
                        </w:rPr>
                        <w:t xml:space="preserve"> green operational activities o</w:t>
                      </w:r>
                      <w:r w:rsidRPr="00457493">
                        <w:rPr>
                          <w:rFonts w:asciiTheme="minorHAnsi" w:hAnsiTheme="minorHAnsi" w:cstheme="minorHAnsi"/>
                          <w:bCs/>
                          <w:color w:val="000000"/>
                          <w:sz w:val="18"/>
                          <w:szCs w:val="21"/>
                        </w:rPr>
                        <w:t>f investee companies.</w:t>
                      </w:r>
                    </w:p>
                  </w:txbxContent>
                </v:textbox>
                <w10:wrap type="square" anchorx="page" anchory="margin"/>
              </v:rect>
            </w:pict>
          </mc:Fallback>
        </mc:AlternateContent>
      </w:r>
      <w:r w:rsidR="00581B38" w:rsidRPr="00581B38">
        <w:rPr>
          <w:rFonts w:ascii="Source Sans Pro" w:hAnsi="Source Sans Pro" w:cs="Times New Roman"/>
        </w:rPr>
        <w:t>The Fund’s aim is to make Investments in the form of the acquisition of equity and quasi-equity Interests in Companies which do business or plan to do business, and mainly in Companies which do business in "B2B" (business to business) commercial relations, with a deep-tech focus to their business</w:t>
      </w:r>
    </w:p>
    <w:p w14:paraId="56D583DA" w14:textId="4F851D62" w:rsidR="00D15428" w:rsidRPr="004346A9" w:rsidRDefault="00D15428" w:rsidP="00571B17">
      <w:pPr>
        <w:spacing w:line="257" w:lineRule="auto"/>
        <w:ind w:left="708"/>
        <w:rPr>
          <w:rFonts w:ascii="Source Sans Pro" w:hAnsi="Source Sans Pro"/>
          <w:lang w:val="en-US"/>
        </w:rPr>
      </w:pPr>
      <w:r w:rsidRPr="004346A9">
        <w:rPr>
          <w:rFonts w:ascii="Source Sans Pro" w:eastAsia="Source Sans Pro" w:hAnsi="Source Sans Pro" w:cs="Source Sans Pro"/>
        </w:rPr>
        <w:t>The Fund aims at investing all of its portfolio in companies meeting the environmental and / or social characteristics that it promotes. As a consequence, up to 100% and at least 90% of the committed capital of the fund will be used to meet the environmental and / or social characteristics promoted by the financial product in accordance with the binding elements of the investment strategy. The only investments included under ‘#2 Other’ are the placement of the available cash of the product, that will represent a maximum of 10% of the committed capital. There are no minimal environmental or social safeguards for such placements. The Fund does not and will not make any sustainable investments. The product’s allocation is therefore the following:</w:t>
      </w:r>
    </w:p>
    <w:p w14:paraId="70933E31" w14:textId="7D4A6FF7" w:rsidR="00AB1EEE" w:rsidRPr="004346A9" w:rsidRDefault="00AB1EEE" w:rsidP="00AB1EEE">
      <w:pPr>
        <w:rPr>
          <w:rFonts w:ascii="Source Sans Pro" w:hAnsi="Source Sans Pro" w:cs="Times New Roman"/>
        </w:rPr>
      </w:pPr>
    </w:p>
    <w:p w14:paraId="5BC5CB45" w14:textId="002D5717" w:rsidR="00AB1EEE" w:rsidRPr="004346A9" w:rsidRDefault="00D15428" w:rsidP="00AB1EEE">
      <w:pPr>
        <w:rPr>
          <w:rFonts w:ascii="Source Sans Pro" w:hAnsi="Source Sans Pro" w:cs="Times New Roman"/>
        </w:rPr>
      </w:pPr>
      <w:r w:rsidRPr="004346A9">
        <w:rPr>
          <w:rFonts w:ascii="Source Sans Pro" w:hAnsi="Source Sans Pro"/>
          <w:noProof/>
        </w:rPr>
        <w:drawing>
          <wp:inline distT="0" distB="0" distL="0" distR="0" wp14:anchorId="22A4D47D" wp14:editId="78FCC754">
            <wp:extent cx="5218931" cy="1935480"/>
            <wp:effectExtent l="0" t="0" r="13970" b="0"/>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DFD17EA" w14:textId="710724DF" w:rsidR="00A21C2F" w:rsidRDefault="00A21C2F" w:rsidP="00571B17">
      <w:pPr>
        <w:ind w:left="708"/>
        <w:rPr>
          <w:rFonts w:asciiTheme="minorHAnsi" w:hAnsiTheme="minorHAnsi" w:cstheme="minorHAnsi"/>
          <w:color w:val="000000"/>
          <w:sz w:val="18"/>
        </w:rPr>
      </w:pPr>
      <w:r w:rsidRPr="00674608">
        <w:rPr>
          <w:rFonts w:asciiTheme="minorHAnsi" w:hAnsiTheme="minorHAnsi" w:cstheme="minorHAnsi"/>
          <w:b/>
          <w:bCs/>
          <w:color w:val="000000"/>
          <w:sz w:val="20"/>
        </w:rPr>
        <w:t>#</w:t>
      </w:r>
      <w:r w:rsidRPr="00674608">
        <w:rPr>
          <w:rFonts w:asciiTheme="minorHAnsi" w:hAnsiTheme="minorHAnsi" w:cstheme="minorHAnsi"/>
          <w:b/>
          <w:bCs/>
          <w:color w:val="000000"/>
          <w:sz w:val="18"/>
        </w:rPr>
        <w:t>1 Aligned with E/S</w:t>
      </w:r>
      <w:r w:rsidRPr="00674608">
        <w:rPr>
          <w:rFonts w:asciiTheme="minorHAnsi" w:hAnsiTheme="minorHAnsi" w:cstheme="minorHAnsi"/>
          <w:color w:val="000000"/>
          <w:sz w:val="18"/>
        </w:rPr>
        <w:t xml:space="preserve"> </w:t>
      </w:r>
      <w:r w:rsidRPr="00674608">
        <w:rPr>
          <w:rFonts w:asciiTheme="minorHAnsi" w:hAnsiTheme="minorHAnsi" w:cstheme="minorHAnsi"/>
          <w:b/>
          <w:bCs/>
          <w:color w:val="000000"/>
          <w:sz w:val="18"/>
        </w:rPr>
        <w:t>characteristics</w:t>
      </w:r>
      <w:r w:rsidRPr="00674608">
        <w:rPr>
          <w:rFonts w:asciiTheme="minorHAnsi" w:hAnsiTheme="minorHAnsi" w:cstheme="minorHAnsi"/>
          <w:color w:val="000000"/>
          <w:sz w:val="18"/>
        </w:rPr>
        <w:t xml:space="preserve"> includes the investments of the financial product used to attain the environmental or social characteristics promoted by the financial product.</w:t>
      </w:r>
    </w:p>
    <w:p w14:paraId="118B27BB" w14:textId="124F605E" w:rsidR="00A21C2F" w:rsidRPr="00B434C2" w:rsidRDefault="00A21C2F" w:rsidP="00571B17">
      <w:pPr>
        <w:ind w:left="708"/>
        <w:rPr>
          <w:rFonts w:asciiTheme="minorHAnsi" w:hAnsiTheme="minorHAnsi" w:cstheme="minorHAnsi"/>
          <w:color w:val="000000"/>
          <w:sz w:val="8"/>
          <w:szCs w:val="8"/>
        </w:rPr>
      </w:pPr>
    </w:p>
    <w:p w14:paraId="227FDB7F" w14:textId="6335BAA3" w:rsidR="00A21C2F" w:rsidRDefault="00A21C2F" w:rsidP="00571B17">
      <w:pPr>
        <w:ind w:left="708"/>
        <w:rPr>
          <w:rFonts w:asciiTheme="minorHAnsi" w:hAnsiTheme="minorHAnsi" w:cstheme="minorHAnsi"/>
          <w:bCs/>
          <w:color w:val="000000"/>
          <w:sz w:val="18"/>
        </w:rPr>
      </w:pPr>
      <w:r w:rsidRPr="00674608">
        <w:rPr>
          <w:rFonts w:asciiTheme="minorHAnsi" w:hAnsiTheme="minorHAnsi" w:cstheme="minorHAnsi"/>
          <w:b/>
          <w:bCs/>
          <w:color w:val="000000"/>
          <w:sz w:val="18"/>
        </w:rPr>
        <w:t xml:space="preserve">#2Other </w:t>
      </w:r>
      <w:r w:rsidRPr="00674608">
        <w:rPr>
          <w:rFonts w:asciiTheme="minorHAnsi" w:hAnsiTheme="minorHAnsi" w:cstheme="minorHAnsi"/>
          <w:bCs/>
          <w:color w:val="000000"/>
          <w:sz w:val="18"/>
        </w:rPr>
        <w:t>includes the remaining investments of the financial product which are neither aligned with the environmental or social characteristics, nor are qualified as sustainable investments.</w:t>
      </w:r>
    </w:p>
    <w:p w14:paraId="39864DF6" w14:textId="36791BB3" w:rsidR="00AB1EEE" w:rsidRPr="004346A9" w:rsidRDefault="00AB1EEE" w:rsidP="00AB1EEE">
      <w:pPr>
        <w:rPr>
          <w:rFonts w:ascii="Source Sans Pro" w:hAnsi="Source Sans Pro" w:cs="Times New Roman"/>
        </w:rPr>
      </w:pPr>
    </w:p>
    <w:p w14:paraId="7069A617" w14:textId="52D2A5CA" w:rsidR="00AB1EEE" w:rsidRPr="004346A9" w:rsidRDefault="00AB1EEE" w:rsidP="00D57478">
      <w:pPr>
        <w:ind w:left="708"/>
        <w:rPr>
          <w:rFonts w:ascii="Source Sans Pro" w:hAnsi="Source Sans Pro" w:cs="Times New Roman"/>
          <w:i/>
        </w:rPr>
      </w:pPr>
      <w:r w:rsidRPr="004346A9">
        <w:rPr>
          <w:rFonts w:ascii="Source Sans Pro" w:hAnsi="Source Sans Pro" w:cs="Times New Roman"/>
          <w:i/>
        </w:rPr>
        <w:t xml:space="preserve">How </w:t>
      </w:r>
      <w:r w:rsidR="00136FD5">
        <w:rPr>
          <w:rFonts w:ascii="Source Sans Pro" w:hAnsi="Source Sans Pro" w:cs="Times New Roman"/>
          <w:i/>
        </w:rPr>
        <w:t xml:space="preserve">does </w:t>
      </w:r>
      <w:r w:rsidRPr="004346A9">
        <w:rPr>
          <w:rFonts w:ascii="Source Sans Pro" w:hAnsi="Source Sans Pro" w:cs="Times New Roman"/>
          <w:i/>
        </w:rPr>
        <w:t>the use of the derivatives attai</w:t>
      </w:r>
      <w:r w:rsidR="00F2460C">
        <w:rPr>
          <w:rFonts w:ascii="Source Sans Pro" w:hAnsi="Source Sans Pro" w:cs="Times New Roman"/>
          <w:i/>
        </w:rPr>
        <w:t>n</w:t>
      </w:r>
      <w:r w:rsidRPr="004346A9">
        <w:rPr>
          <w:rFonts w:ascii="Source Sans Pro" w:hAnsi="Source Sans Pro" w:cs="Times New Roman"/>
          <w:i/>
        </w:rPr>
        <w:t xml:space="preserve"> the environmental or social characteristics promoted by the </w:t>
      </w:r>
      <w:r w:rsidR="00B00EB2">
        <w:rPr>
          <w:rFonts w:ascii="Source Sans Pro" w:hAnsi="Source Sans Pro" w:cs="Times New Roman"/>
          <w:i/>
        </w:rPr>
        <w:t>financial product</w:t>
      </w:r>
      <w:r w:rsidRPr="004346A9">
        <w:rPr>
          <w:rFonts w:ascii="Source Sans Pro" w:hAnsi="Source Sans Pro" w:cs="Times New Roman"/>
          <w:i/>
        </w:rPr>
        <w:t>?</w:t>
      </w:r>
    </w:p>
    <w:p w14:paraId="2015A463" w14:textId="2B8B11CC" w:rsidR="00AB1EEE" w:rsidRPr="004346A9" w:rsidRDefault="00AB1EEE" w:rsidP="00AB1EEE">
      <w:pPr>
        <w:rPr>
          <w:rFonts w:ascii="Source Sans Pro" w:hAnsi="Source Sans Pro" w:cs="Times New Roman"/>
          <w:i/>
        </w:rPr>
      </w:pPr>
    </w:p>
    <w:p w14:paraId="76686732" w14:textId="0EB518BF" w:rsidR="00D15428" w:rsidRDefault="00D15428" w:rsidP="00571B17">
      <w:pPr>
        <w:ind w:firstLine="708"/>
        <w:rPr>
          <w:rFonts w:ascii="Source Sans Pro" w:hAnsi="Source Sans Pro"/>
        </w:rPr>
      </w:pPr>
      <w:r w:rsidRPr="004346A9">
        <w:rPr>
          <w:rFonts w:ascii="Source Sans Pro" w:hAnsi="Source Sans Pro"/>
        </w:rPr>
        <w:t>The product does not use any derivatives.</w:t>
      </w:r>
    </w:p>
    <w:p w14:paraId="7840DF4E" w14:textId="77777777" w:rsidR="00571B17" w:rsidRDefault="00571B17" w:rsidP="00571B17">
      <w:pPr>
        <w:ind w:firstLine="708"/>
        <w:rPr>
          <w:rFonts w:ascii="Source Sans Pro" w:hAnsi="Source Sans Pro"/>
        </w:rPr>
      </w:pPr>
    </w:p>
    <w:p w14:paraId="4E974CA2" w14:textId="77777777" w:rsidR="00571B17" w:rsidRDefault="00571B17" w:rsidP="00571B17">
      <w:pPr>
        <w:ind w:firstLine="708"/>
        <w:rPr>
          <w:rFonts w:ascii="Source Sans Pro" w:hAnsi="Source Sans Pro"/>
        </w:rPr>
      </w:pPr>
    </w:p>
    <w:p w14:paraId="1969C006" w14:textId="77777777" w:rsidR="00571B17" w:rsidRDefault="00571B17" w:rsidP="00571B17">
      <w:pPr>
        <w:ind w:firstLine="708"/>
        <w:rPr>
          <w:rFonts w:ascii="Source Sans Pro" w:hAnsi="Source Sans Pro"/>
        </w:rPr>
      </w:pPr>
    </w:p>
    <w:p w14:paraId="3B4C4B6D" w14:textId="77777777" w:rsidR="00571B17" w:rsidRDefault="00571B17" w:rsidP="00571B17">
      <w:pPr>
        <w:ind w:firstLine="708"/>
        <w:rPr>
          <w:rFonts w:ascii="Source Sans Pro" w:hAnsi="Source Sans Pro"/>
        </w:rPr>
      </w:pPr>
    </w:p>
    <w:p w14:paraId="219E48DC" w14:textId="77777777" w:rsidR="00571B17" w:rsidRDefault="00571B17" w:rsidP="00571B17">
      <w:pPr>
        <w:ind w:firstLine="708"/>
        <w:rPr>
          <w:rFonts w:ascii="Source Sans Pro" w:hAnsi="Source Sans Pro"/>
        </w:rPr>
      </w:pPr>
    </w:p>
    <w:p w14:paraId="3EDF0F8C" w14:textId="77777777" w:rsidR="00571B17" w:rsidRDefault="00571B17" w:rsidP="00571B17">
      <w:pPr>
        <w:ind w:firstLine="708"/>
        <w:rPr>
          <w:rFonts w:ascii="Source Sans Pro" w:hAnsi="Source Sans Pro"/>
        </w:rPr>
      </w:pPr>
    </w:p>
    <w:p w14:paraId="39E59B44" w14:textId="77777777" w:rsidR="00571B17" w:rsidRDefault="00571B17" w:rsidP="00571B17">
      <w:pPr>
        <w:ind w:firstLine="708"/>
        <w:rPr>
          <w:rFonts w:ascii="Source Sans Pro" w:hAnsi="Source Sans Pro"/>
        </w:rPr>
      </w:pPr>
    </w:p>
    <w:p w14:paraId="06666604" w14:textId="77777777" w:rsidR="00D21FBB" w:rsidRDefault="00D21FBB" w:rsidP="00CF26EA">
      <w:pPr>
        <w:rPr>
          <w:rFonts w:ascii="Source Sans Pro" w:hAnsi="Source Sans Pro"/>
        </w:rPr>
      </w:pPr>
    </w:p>
    <w:p w14:paraId="23517F01" w14:textId="77777777" w:rsidR="00D21FBB" w:rsidRDefault="00D21FBB" w:rsidP="00571B17">
      <w:pPr>
        <w:ind w:firstLine="708"/>
        <w:rPr>
          <w:rFonts w:ascii="Source Sans Pro" w:hAnsi="Source Sans Pro"/>
        </w:rPr>
      </w:pPr>
    </w:p>
    <w:p w14:paraId="32A11503" w14:textId="2B104BB5" w:rsidR="00571B17" w:rsidRPr="004346A9" w:rsidRDefault="00571B17" w:rsidP="00571B17">
      <w:pPr>
        <w:ind w:firstLine="708"/>
        <w:rPr>
          <w:rFonts w:ascii="Source Sans Pro" w:hAnsi="Source Sans Pro"/>
        </w:rPr>
      </w:pPr>
    </w:p>
    <w:p w14:paraId="145AA923" w14:textId="195150C0" w:rsidR="00AB1EEE" w:rsidRPr="004346A9" w:rsidRDefault="00AB1EEE" w:rsidP="00AB1EEE">
      <w:pPr>
        <w:spacing w:after="200"/>
        <w:rPr>
          <w:rFonts w:ascii="Source Sans Pro" w:hAnsi="Source Sans Pro" w:cs="Times New Roman"/>
        </w:rPr>
      </w:pPr>
      <w:r w:rsidRPr="004346A9">
        <w:rPr>
          <w:rFonts w:ascii="Source Sans Pro" w:hAnsi="Source Sans Pro"/>
          <w:noProof/>
        </w:rPr>
        <w:drawing>
          <wp:anchor distT="0" distB="0" distL="114300" distR="114300" simplePos="0" relativeHeight="251664384" behindDoc="1" locked="0" layoutInCell="1" hidden="0" allowOverlap="1" wp14:anchorId="77123D67" wp14:editId="3DA79DD7">
            <wp:simplePos x="0" y="0"/>
            <wp:positionH relativeFrom="column">
              <wp:posOffset>9526</wp:posOffset>
            </wp:positionH>
            <wp:positionV relativeFrom="paragraph">
              <wp:posOffset>161925</wp:posOffset>
            </wp:positionV>
            <wp:extent cx="523875" cy="485775"/>
            <wp:effectExtent l="0" t="0" r="0" b="0"/>
            <wp:wrapNone/>
            <wp:docPr id="14" name="image2.png" descr="Une image contenant horlog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2.png" descr="Une image contenant horloge&#10;&#10;Description générée automatiquement"/>
                    <pic:cNvPicPr preferRelativeResize="0"/>
                  </pic:nvPicPr>
                  <pic:blipFill>
                    <a:blip r:embed="rId19"/>
                    <a:srcRect/>
                    <a:stretch>
                      <a:fillRect/>
                    </a:stretch>
                  </pic:blipFill>
                  <pic:spPr>
                    <a:xfrm>
                      <a:off x="0" y="0"/>
                      <a:ext cx="523875" cy="485775"/>
                    </a:xfrm>
                    <a:prstGeom prst="rect">
                      <a:avLst/>
                    </a:prstGeom>
                    <a:ln/>
                  </pic:spPr>
                </pic:pic>
              </a:graphicData>
            </a:graphic>
          </wp:anchor>
        </w:drawing>
      </w:r>
    </w:p>
    <w:p w14:paraId="75175431" w14:textId="5C1FF6A7" w:rsidR="00AB1EEE" w:rsidRPr="004346A9" w:rsidRDefault="00AB1EEE" w:rsidP="00AB1EEE">
      <w:pPr>
        <w:numPr>
          <w:ilvl w:val="3"/>
          <w:numId w:val="13"/>
        </w:numPr>
        <w:spacing w:after="200"/>
        <w:ind w:left="1710"/>
        <w:rPr>
          <w:rFonts w:ascii="Source Sans Pro" w:hAnsi="Source Sans Pro" w:cs="Times New Roman"/>
        </w:rPr>
      </w:pPr>
      <w:r w:rsidRPr="004346A9">
        <w:rPr>
          <w:rFonts w:ascii="Source Sans Pro" w:hAnsi="Source Sans Pro" w:cs="Times New Roman"/>
          <w:b/>
        </w:rPr>
        <w:t>To what minimum extent are sustainable investments with an environmental objective aligned with the EU Taxonomy?</w:t>
      </w:r>
    </w:p>
    <w:p w14:paraId="1B05C9A6" w14:textId="0CC2557B" w:rsidR="00AB1EEE" w:rsidRPr="004346A9" w:rsidRDefault="00CF26EA" w:rsidP="00571B17">
      <w:pPr>
        <w:ind w:left="708"/>
        <w:rPr>
          <w:rFonts w:ascii="Source Sans Pro" w:hAnsi="Source Sans Pro" w:cs="Times New Roman"/>
        </w:rPr>
      </w:pPr>
      <w:r w:rsidRPr="003A1C01">
        <w:rPr>
          <w:rFonts w:ascii="Calibri" w:hAnsi="Calibri"/>
          <w:noProof/>
          <w:szCs w:val="24"/>
        </w:rPr>
        <mc:AlternateContent>
          <mc:Choice Requires="wps">
            <w:drawing>
              <wp:anchor distT="0" distB="0" distL="114300" distR="114300" simplePos="0" relativeHeight="251694080" behindDoc="0" locked="0" layoutInCell="1" allowOverlap="1" wp14:anchorId="0AD2F5B9" wp14:editId="22362138">
                <wp:simplePos x="0" y="0"/>
                <wp:positionH relativeFrom="page">
                  <wp:posOffset>120015</wp:posOffset>
                </wp:positionH>
                <wp:positionV relativeFrom="margin">
                  <wp:posOffset>1179429</wp:posOffset>
                </wp:positionV>
                <wp:extent cx="994410" cy="6504940"/>
                <wp:effectExtent l="0" t="0" r="0" b="0"/>
                <wp:wrapSquare wrapText="bothSides"/>
                <wp:docPr id="1834946698" name="Rectangle 1834946698"/>
                <wp:cNvGraphicFramePr/>
                <a:graphic xmlns:a="http://schemas.openxmlformats.org/drawingml/2006/main">
                  <a:graphicData uri="http://schemas.microsoft.com/office/word/2010/wordprocessingShape">
                    <wps:wsp>
                      <wps:cNvSpPr/>
                      <wps:spPr>
                        <a:xfrm>
                          <a:off x="0" y="0"/>
                          <a:ext cx="994410" cy="6504940"/>
                        </a:xfrm>
                        <a:prstGeom prst="rect">
                          <a:avLst/>
                        </a:prstGeom>
                        <a:solidFill>
                          <a:sysClr val="window" lastClr="FFFFFF">
                            <a:lumMod val="95000"/>
                          </a:sysClr>
                        </a:solidFill>
                        <a:ln w="12700" cap="flat" cmpd="sng" algn="ctr">
                          <a:noFill/>
                          <a:prstDash val="solid"/>
                          <a:miter lim="800000"/>
                        </a:ln>
                        <a:effectLst/>
                      </wps:spPr>
                      <wps:txbx>
                        <w:txbxContent>
                          <w:p w14:paraId="08820CF4" w14:textId="77777777" w:rsidR="00D21FBB" w:rsidRDefault="00D21FBB" w:rsidP="00D21FBB">
                            <w:pPr>
                              <w:ind w:left="-142" w:right="-139"/>
                              <w:jc w:val="left"/>
                              <w:rPr>
                                <w:rFonts w:asciiTheme="minorHAnsi" w:hAnsiTheme="minorHAnsi" w:cstheme="minorHAnsi"/>
                                <w:color w:val="000000"/>
                                <w:sz w:val="18"/>
                                <w:szCs w:val="21"/>
                              </w:rPr>
                            </w:pPr>
                            <w:r>
                              <w:rPr>
                                <w:rFonts w:asciiTheme="minorHAnsi" w:hAnsiTheme="minorHAnsi" w:cstheme="minorHAnsi"/>
                                <w:color w:val="000000"/>
                                <w:sz w:val="20"/>
                              </w:rPr>
                              <w:t>T</w:t>
                            </w:r>
                            <w:r w:rsidRPr="00457493">
                              <w:rPr>
                                <w:rFonts w:asciiTheme="minorHAnsi" w:hAnsiTheme="minorHAnsi" w:cstheme="minorHAnsi"/>
                                <w:color w:val="000000"/>
                                <w:sz w:val="18"/>
                                <w:szCs w:val="21"/>
                              </w:rPr>
                              <w:t xml:space="preserve">o comply with the EU Taxonomy, the criteria for </w:t>
                            </w:r>
                            <w:r w:rsidRPr="00457493">
                              <w:rPr>
                                <w:rFonts w:asciiTheme="minorHAnsi" w:hAnsiTheme="minorHAnsi" w:cstheme="minorHAnsi"/>
                                <w:b/>
                                <w:bCs/>
                                <w:color w:val="000000"/>
                                <w:sz w:val="18"/>
                                <w:szCs w:val="21"/>
                              </w:rPr>
                              <w:t>fossil gas</w:t>
                            </w:r>
                            <w:r w:rsidRPr="00457493">
                              <w:rPr>
                                <w:rFonts w:asciiTheme="minorHAnsi" w:hAnsiTheme="minorHAnsi" w:cstheme="minorHAnsi"/>
                                <w:color w:val="000000"/>
                                <w:sz w:val="18"/>
                                <w:szCs w:val="21"/>
                              </w:rPr>
                              <w:t xml:space="preserve"> include limitations on emissions and switching to renewable power or low-carbon fuels by the end of 2035. For </w:t>
                            </w:r>
                            <w:r w:rsidRPr="00457493">
                              <w:rPr>
                                <w:rFonts w:asciiTheme="minorHAnsi" w:hAnsiTheme="minorHAnsi" w:cstheme="minorHAnsi"/>
                                <w:b/>
                                <w:bCs/>
                                <w:color w:val="000000"/>
                                <w:sz w:val="18"/>
                                <w:szCs w:val="21"/>
                              </w:rPr>
                              <w:t>nuclear energy</w:t>
                            </w:r>
                            <w:r w:rsidRPr="00457493">
                              <w:rPr>
                                <w:rFonts w:asciiTheme="minorHAnsi" w:hAnsiTheme="minorHAnsi" w:cstheme="minorHAnsi"/>
                                <w:color w:val="000000"/>
                                <w:sz w:val="18"/>
                                <w:szCs w:val="21"/>
                              </w:rPr>
                              <w:t>, the criteria include comprehensive safety and waste management rules.</w:t>
                            </w:r>
                          </w:p>
                          <w:p w14:paraId="4C8B7F65" w14:textId="19505C49" w:rsidR="00D21FBB" w:rsidRDefault="00D21FBB" w:rsidP="00D21FBB">
                            <w:pPr>
                              <w:ind w:left="-142" w:right="-139"/>
                              <w:jc w:val="left"/>
                              <w:rPr>
                                <w:rFonts w:asciiTheme="minorHAnsi" w:hAnsiTheme="minorHAnsi" w:cstheme="minorHAnsi"/>
                                <w:bCs/>
                                <w:color w:val="000000"/>
                                <w:sz w:val="18"/>
                                <w:szCs w:val="21"/>
                              </w:rPr>
                            </w:pPr>
                            <w:r w:rsidRPr="00457493">
                              <w:rPr>
                                <w:rFonts w:asciiTheme="minorHAnsi" w:hAnsiTheme="minorHAnsi" w:cstheme="minorHAnsi"/>
                                <w:b/>
                                <w:bCs/>
                                <w:color w:val="000000"/>
                                <w:sz w:val="18"/>
                                <w:szCs w:val="21"/>
                              </w:rPr>
                              <w:t xml:space="preserve">Enabling activities </w:t>
                            </w:r>
                            <w:r w:rsidRPr="00457493">
                              <w:rPr>
                                <w:rFonts w:asciiTheme="minorHAnsi" w:hAnsiTheme="minorHAnsi" w:cstheme="minorHAnsi"/>
                                <w:bCs/>
                                <w:color w:val="000000"/>
                                <w:sz w:val="18"/>
                                <w:szCs w:val="21"/>
                              </w:rPr>
                              <w:t xml:space="preserve">directly enable other activities to </w:t>
                            </w:r>
                            <w:r w:rsidRPr="00457493">
                              <w:rPr>
                                <w:rFonts w:asciiTheme="minorHAnsi" w:hAnsiTheme="minorHAnsi" w:cstheme="minorHAnsi"/>
                                <w:bCs/>
                                <w:color w:val="000000"/>
                                <w:sz w:val="16"/>
                                <w:szCs w:val="20"/>
                              </w:rPr>
                              <w:t xml:space="preserve">make a </w:t>
                            </w:r>
                            <w:r w:rsidRPr="00457493">
                              <w:rPr>
                                <w:rFonts w:asciiTheme="minorHAnsi" w:hAnsiTheme="minorHAnsi" w:cstheme="minorHAnsi"/>
                                <w:bCs/>
                                <w:color w:val="000000"/>
                                <w:sz w:val="18"/>
                                <w:szCs w:val="21"/>
                              </w:rPr>
                              <w:t>substantial contribution to an environmental objective.</w:t>
                            </w:r>
                          </w:p>
                          <w:p w14:paraId="1EA32A06" w14:textId="77777777" w:rsidR="00D21FBB" w:rsidRPr="00571B17" w:rsidRDefault="00D21FBB" w:rsidP="00D21FBB">
                            <w:pPr>
                              <w:ind w:left="-142" w:right="-139"/>
                              <w:jc w:val="left"/>
                              <w:rPr>
                                <w:rFonts w:asciiTheme="minorHAnsi" w:hAnsiTheme="minorHAnsi" w:cstheme="minorHAnsi"/>
                                <w:bCs/>
                                <w:color w:val="000000"/>
                                <w:sz w:val="18"/>
                                <w:szCs w:val="21"/>
                                <w:highlight w:val="yellow"/>
                              </w:rPr>
                            </w:pPr>
                            <w:r w:rsidRPr="00571B17">
                              <w:rPr>
                                <w:rFonts w:asciiTheme="minorHAnsi" w:hAnsiTheme="minorHAnsi" w:cstheme="minorHAnsi"/>
                                <w:b/>
                                <w:bCs/>
                                <w:color w:val="000000"/>
                                <w:sz w:val="18"/>
                                <w:szCs w:val="21"/>
                              </w:rPr>
                              <w:t xml:space="preserve">Transitional activities are </w:t>
                            </w:r>
                            <w:r w:rsidRPr="00571B17">
                              <w:rPr>
                                <w:rFonts w:asciiTheme="minorHAnsi" w:hAnsiTheme="minorHAnsi" w:cstheme="minorHAnsi"/>
                                <w:bCs/>
                                <w:color w:val="000000"/>
                                <w:sz w:val="18"/>
                                <w:szCs w:val="21"/>
                              </w:rPr>
                              <w:t>activities for which low-carbon alternatives are not yet available and among others have greenhouse gas emission levels  corresponding to the best performance.</w:t>
                            </w:r>
                          </w:p>
                          <w:p w14:paraId="748FE3F8" w14:textId="77777777" w:rsidR="00D21FBB" w:rsidRPr="00571B17" w:rsidRDefault="00D21FBB" w:rsidP="00D21FBB">
                            <w:pPr>
                              <w:ind w:left="-142" w:right="-139"/>
                              <w:jc w:val="left"/>
                              <w:rPr>
                                <w:rFonts w:asciiTheme="minorHAnsi" w:hAnsiTheme="minorHAnsi" w:cstheme="minorHAnsi"/>
                                <w:bCs/>
                                <w:color w:val="000000"/>
                                <w:sz w:val="18"/>
                                <w:szCs w:val="21"/>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2F5B9" id="Rectangle 1834946698" o:spid="_x0000_s1034" style="position:absolute;left:0;text-align:left;margin-left:9.45pt;margin-top:92.85pt;width:78.3pt;height:512.2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" fillcolor="#f2f2f2" stroked="f" strokeweight="1pt">
                <v:textbox inset="4mm,1mm,7mm">
                  <w:txbxContent>
                    <w:p w14:paraId="08820CF4" w14:textId="77777777" w:rsidR="00D21FBB" w:rsidRDefault="00D21FBB" w:rsidP="00D21FBB">
                      <w:pPr>
                        <w:ind w:left="-142" w:right="-139"/>
                        <w:jc w:val="left"/>
                        <w:rPr>
                          <w:rFonts w:asciiTheme="minorHAnsi" w:hAnsiTheme="minorHAnsi" w:cstheme="minorHAnsi"/>
                          <w:color w:val="000000"/>
                          <w:sz w:val="18"/>
                          <w:szCs w:val="21"/>
                        </w:rPr>
                      </w:pPr>
                      <w:r>
                        <w:rPr>
                          <w:rFonts w:asciiTheme="minorHAnsi" w:hAnsiTheme="minorHAnsi" w:cstheme="minorHAnsi"/>
                          <w:color w:val="000000"/>
                          <w:sz w:val="20"/>
                        </w:rPr>
                        <w:t>T</w:t>
                      </w:r>
                      <w:r w:rsidRPr="00457493">
                        <w:rPr>
                          <w:rFonts w:asciiTheme="minorHAnsi" w:hAnsiTheme="minorHAnsi" w:cstheme="minorHAnsi"/>
                          <w:color w:val="000000"/>
                          <w:sz w:val="18"/>
                          <w:szCs w:val="21"/>
                        </w:rPr>
                        <w:t xml:space="preserve">o comply with the EU Taxonomy, the criteria for </w:t>
                      </w:r>
                      <w:r w:rsidRPr="00457493">
                        <w:rPr>
                          <w:rFonts w:asciiTheme="minorHAnsi" w:hAnsiTheme="minorHAnsi" w:cstheme="minorHAnsi"/>
                          <w:b/>
                          <w:bCs/>
                          <w:color w:val="000000"/>
                          <w:sz w:val="18"/>
                          <w:szCs w:val="21"/>
                        </w:rPr>
                        <w:t>fossil gas</w:t>
                      </w:r>
                      <w:r w:rsidRPr="00457493">
                        <w:rPr>
                          <w:rFonts w:asciiTheme="minorHAnsi" w:hAnsiTheme="minorHAnsi" w:cstheme="minorHAnsi"/>
                          <w:color w:val="000000"/>
                          <w:sz w:val="18"/>
                          <w:szCs w:val="21"/>
                        </w:rPr>
                        <w:t xml:space="preserve"> include limitations on emissions and switching to renewable power or low-carbon fuels by the end of 2035. For </w:t>
                      </w:r>
                      <w:r w:rsidRPr="00457493">
                        <w:rPr>
                          <w:rFonts w:asciiTheme="minorHAnsi" w:hAnsiTheme="minorHAnsi" w:cstheme="minorHAnsi"/>
                          <w:b/>
                          <w:bCs/>
                          <w:color w:val="000000"/>
                          <w:sz w:val="18"/>
                          <w:szCs w:val="21"/>
                        </w:rPr>
                        <w:t>nuclear energy</w:t>
                      </w:r>
                      <w:r w:rsidRPr="00457493">
                        <w:rPr>
                          <w:rFonts w:asciiTheme="minorHAnsi" w:hAnsiTheme="minorHAnsi" w:cstheme="minorHAnsi"/>
                          <w:color w:val="000000"/>
                          <w:sz w:val="18"/>
                          <w:szCs w:val="21"/>
                        </w:rPr>
                        <w:t>, the criteria include comprehensive safety and waste management rules.</w:t>
                      </w:r>
                    </w:p>
                    <w:p w14:paraId="4C8B7F65" w14:textId="19505C49" w:rsidR="00D21FBB" w:rsidRDefault="00D21FBB" w:rsidP="00D21FBB">
                      <w:pPr>
                        <w:ind w:left="-142" w:right="-139"/>
                        <w:jc w:val="left"/>
                        <w:rPr>
                          <w:rFonts w:asciiTheme="minorHAnsi" w:hAnsiTheme="minorHAnsi" w:cstheme="minorHAnsi"/>
                          <w:bCs/>
                          <w:color w:val="000000"/>
                          <w:sz w:val="18"/>
                          <w:szCs w:val="21"/>
                        </w:rPr>
                      </w:pPr>
                      <w:r w:rsidRPr="00457493">
                        <w:rPr>
                          <w:rFonts w:asciiTheme="minorHAnsi" w:hAnsiTheme="minorHAnsi" w:cstheme="minorHAnsi"/>
                          <w:b/>
                          <w:bCs/>
                          <w:color w:val="000000"/>
                          <w:sz w:val="18"/>
                          <w:szCs w:val="21"/>
                        </w:rPr>
                        <w:t xml:space="preserve">Enabling activities </w:t>
                      </w:r>
                      <w:r w:rsidRPr="00457493">
                        <w:rPr>
                          <w:rFonts w:asciiTheme="minorHAnsi" w:hAnsiTheme="minorHAnsi" w:cstheme="minorHAnsi"/>
                          <w:bCs/>
                          <w:color w:val="000000"/>
                          <w:sz w:val="18"/>
                          <w:szCs w:val="21"/>
                        </w:rPr>
                        <w:t xml:space="preserve">directly enable other activities to </w:t>
                      </w:r>
                      <w:r w:rsidRPr="00457493">
                        <w:rPr>
                          <w:rFonts w:asciiTheme="minorHAnsi" w:hAnsiTheme="minorHAnsi" w:cstheme="minorHAnsi"/>
                          <w:bCs/>
                          <w:color w:val="000000"/>
                          <w:sz w:val="16"/>
                          <w:szCs w:val="20"/>
                        </w:rPr>
                        <w:t xml:space="preserve">make a </w:t>
                      </w:r>
                      <w:r w:rsidRPr="00457493">
                        <w:rPr>
                          <w:rFonts w:asciiTheme="minorHAnsi" w:hAnsiTheme="minorHAnsi" w:cstheme="minorHAnsi"/>
                          <w:bCs/>
                          <w:color w:val="000000"/>
                          <w:sz w:val="18"/>
                          <w:szCs w:val="21"/>
                        </w:rPr>
                        <w:t>substantial contribution to an environmental objective.</w:t>
                      </w:r>
                    </w:p>
                    <w:p w14:paraId="1EA32A06" w14:textId="77777777" w:rsidR="00D21FBB" w:rsidRPr="00571B17" w:rsidRDefault="00D21FBB" w:rsidP="00D21FBB">
                      <w:pPr>
                        <w:ind w:left="-142" w:right="-139"/>
                        <w:jc w:val="left"/>
                        <w:rPr>
                          <w:rFonts w:asciiTheme="minorHAnsi" w:hAnsiTheme="minorHAnsi" w:cstheme="minorHAnsi"/>
                          <w:bCs/>
                          <w:color w:val="000000"/>
                          <w:sz w:val="18"/>
                          <w:szCs w:val="21"/>
                          <w:highlight w:val="yellow"/>
                        </w:rPr>
                      </w:pPr>
                      <w:r w:rsidRPr="00571B17">
                        <w:rPr>
                          <w:rFonts w:asciiTheme="minorHAnsi" w:hAnsiTheme="minorHAnsi" w:cstheme="minorHAnsi"/>
                          <w:b/>
                          <w:bCs/>
                          <w:color w:val="000000"/>
                          <w:sz w:val="18"/>
                          <w:szCs w:val="21"/>
                        </w:rPr>
                        <w:t xml:space="preserve">Transitional activities are </w:t>
                      </w:r>
                      <w:r w:rsidRPr="00571B17">
                        <w:rPr>
                          <w:rFonts w:asciiTheme="minorHAnsi" w:hAnsiTheme="minorHAnsi" w:cstheme="minorHAnsi"/>
                          <w:bCs/>
                          <w:color w:val="000000"/>
                          <w:sz w:val="18"/>
                          <w:szCs w:val="21"/>
                        </w:rPr>
                        <w:t xml:space="preserve">activities for which low-carbon alternatives are not yet available and among others have greenhouse gas emission </w:t>
                      </w:r>
                      <w:proofErr w:type="gramStart"/>
                      <w:r w:rsidRPr="00571B17">
                        <w:rPr>
                          <w:rFonts w:asciiTheme="minorHAnsi" w:hAnsiTheme="minorHAnsi" w:cstheme="minorHAnsi"/>
                          <w:bCs/>
                          <w:color w:val="000000"/>
                          <w:sz w:val="18"/>
                          <w:szCs w:val="21"/>
                        </w:rPr>
                        <w:t>levels  corresponding</w:t>
                      </w:r>
                      <w:proofErr w:type="gramEnd"/>
                      <w:r w:rsidRPr="00571B17">
                        <w:rPr>
                          <w:rFonts w:asciiTheme="minorHAnsi" w:hAnsiTheme="minorHAnsi" w:cstheme="minorHAnsi"/>
                          <w:bCs/>
                          <w:color w:val="000000"/>
                          <w:sz w:val="18"/>
                          <w:szCs w:val="21"/>
                        </w:rPr>
                        <w:t xml:space="preserve"> to the best performance.</w:t>
                      </w:r>
                    </w:p>
                    <w:p w14:paraId="748FE3F8" w14:textId="77777777" w:rsidR="00D21FBB" w:rsidRPr="00571B17" w:rsidRDefault="00D21FBB" w:rsidP="00D21FBB">
                      <w:pPr>
                        <w:ind w:left="-142" w:right="-139"/>
                        <w:jc w:val="left"/>
                        <w:rPr>
                          <w:rFonts w:asciiTheme="minorHAnsi" w:hAnsiTheme="minorHAnsi" w:cstheme="minorHAnsi"/>
                          <w:bCs/>
                          <w:color w:val="000000"/>
                          <w:sz w:val="18"/>
                          <w:szCs w:val="21"/>
                        </w:rPr>
                      </w:pPr>
                    </w:p>
                  </w:txbxContent>
                </v:textbox>
                <w10:wrap type="square" anchorx="page" anchory="margin"/>
              </v:rect>
            </w:pict>
          </mc:Fallback>
        </mc:AlternateContent>
      </w:r>
      <w:r w:rsidR="00AB1EEE" w:rsidRPr="004346A9">
        <w:rPr>
          <w:rFonts w:ascii="Source Sans Pro" w:hAnsi="Source Sans Pro" w:cs="Times New Roman"/>
        </w:rPr>
        <w:t>While the Fund complies with the provisions of Article 8 of SFDR, it does not have a sustainable investment pocket with a social or environmental objective within the meaning of SFDR. The Fund does not have a Taxonomy alignment objective, as defined in the ERU Taxonomy.</w:t>
      </w:r>
    </w:p>
    <w:p w14:paraId="2FEC6CBF" w14:textId="697370FC" w:rsidR="00D15428" w:rsidRPr="004346A9" w:rsidRDefault="00D15428" w:rsidP="00AB1EEE">
      <w:pPr>
        <w:rPr>
          <w:rFonts w:ascii="Source Sans Pro" w:hAnsi="Source Sans Pro" w:cs="Times New Roman"/>
        </w:rPr>
      </w:pPr>
    </w:p>
    <w:p w14:paraId="625699C8" w14:textId="56A6BAB1" w:rsidR="00D15428" w:rsidRDefault="00D15428" w:rsidP="00AB1EEE">
      <w:pPr>
        <w:rPr>
          <w:rFonts w:ascii="Source Sans Pro" w:hAnsi="Source Sans Pro" w:cs="Times New Roman"/>
        </w:rPr>
      </w:pPr>
    </w:p>
    <w:p w14:paraId="77F7D0B4" w14:textId="30E99C92" w:rsidR="00BA6742" w:rsidRPr="00487A38" w:rsidRDefault="00BA6742" w:rsidP="00BA6742">
      <w:pPr>
        <w:rPr>
          <w:rFonts w:ascii="Source Sans Pro" w:hAnsi="Source Sans Pro"/>
          <w:i/>
          <w:iCs/>
        </w:rPr>
      </w:pPr>
      <w:r w:rsidRPr="00487A38">
        <w:rPr>
          <w:rFonts w:ascii="Source Sans Pro" w:hAnsi="Source Sans Pro"/>
          <w:i/>
          <w:iCs/>
        </w:rPr>
        <w:t xml:space="preserve">Does the financial product invest in fossil gas and/or nuclear energy related activities that comply with the EU Taxonomy ? </w:t>
      </w:r>
    </w:p>
    <w:p w14:paraId="33E8928F" w14:textId="4D826DA1" w:rsidR="00571B17" w:rsidRDefault="00BA6742" w:rsidP="00571B17">
      <w:pPr>
        <w:pStyle w:val="NormalWeb"/>
        <w:spacing w:line="360" w:lineRule="auto"/>
        <w:ind w:left="708"/>
        <w:rPr>
          <w:rFonts w:ascii="Source Sans Pro" w:hAnsi="Source Sans Pro"/>
          <w:sz w:val="22"/>
          <w:szCs w:val="22"/>
          <w:lang w:val="en-GB"/>
        </w:rPr>
      </w:pPr>
      <w:r w:rsidRPr="00487A38">
        <w:rPr>
          <w:rFonts w:ascii="Source Sans Pro" w:hAnsi="Source Sans Pro" w:hint="eastAsia"/>
          <w:sz w:val="22"/>
          <w:szCs w:val="22"/>
          <w:lang w:val="en-GB"/>
        </w:rPr>
        <w:t xml:space="preserve">☐ </w:t>
      </w:r>
      <w:r w:rsidRPr="00487A38">
        <w:rPr>
          <w:rFonts w:ascii="Source Sans Pro" w:hAnsi="Source Sans Pro"/>
          <w:sz w:val="22"/>
          <w:szCs w:val="22"/>
          <w:lang w:val="en-GB"/>
        </w:rPr>
        <w:t>Yes</w:t>
      </w:r>
      <w:r w:rsidRPr="00487A38">
        <w:rPr>
          <w:rFonts w:ascii="Source Sans Pro" w:hAnsi="Source Sans Pro"/>
          <w:sz w:val="22"/>
          <w:szCs w:val="22"/>
          <w:lang w:val="en-GB"/>
        </w:rPr>
        <w:br/>
      </w:r>
      <w:r w:rsidRPr="00487A38">
        <w:rPr>
          <w:rFonts w:ascii="Source Sans Pro" w:hAnsi="Source Sans Pro" w:hint="eastAsia"/>
          <w:sz w:val="22"/>
          <w:szCs w:val="22"/>
          <w:lang w:val="en-GB"/>
        </w:rPr>
        <w:t xml:space="preserve">☐ </w:t>
      </w:r>
      <w:r w:rsidRPr="00487A38">
        <w:rPr>
          <w:rFonts w:ascii="Source Sans Pro" w:hAnsi="Source Sans Pro"/>
          <w:sz w:val="22"/>
          <w:szCs w:val="22"/>
          <w:lang w:val="en-GB"/>
        </w:rPr>
        <w:t xml:space="preserve">In fossil gas </w:t>
      </w:r>
      <w:r w:rsidRPr="00487A38">
        <w:rPr>
          <w:rFonts w:ascii="Source Sans Pro" w:hAnsi="Source Sans Pro" w:hint="eastAsia"/>
          <w:sz w:val="22"/>
          <w:szCs w:val="22"/>
          <w:lang w:val="en-GB"/>
        </w:rPr>
        <w:t xml:space="preserve">☐ </w:t>
      </w:r>
      <w:r w:rsidRPr="00487A38">
        <w:rPr>
          <w:rFonts w:ascii="Source Sans Pro" w:hAnsi="Source Sans Pro"/>
          <w:sz w:val="22"/>
          <w:szCs w:val="22"/>
          <w:lang w:val="en-GB"/>
        </w:rPr>
        <w:t>In nuclear energy</w:t>
      </w:r>
      <w:r w:rsidRPr="00487A38">
        <w:rPr>
          <w:rFonts w:ascii="Source Sans Pro" w:hAnsi="Source Sans Pro"/>
          <w:sz w:val="22"/>
          <w:szCs w:val="22"/>
          <w:lang w:val="en-GB"/>
        </w:rPr>
        <w:br/>
        <w:t xml:space="preserve"> </w:t>
      </w:r>
      <w:r w:rsidRPr="00487A38">
        <w:rPr>
          <w:rFonts w:ascii="Segoe UI Symbol" w:hAnsi="Segoe UI Symbol" w:cs="Segoe UI Symbol"/>
          <w:sz w:val="22"/>
          <w:szCs w:val="22"/>
          <w:lang w:val="en-GB"/>
        </w:rPr>
        <w:t>☒</w:t>
      </w:r>
      <w:r w:rsidRPr="00487A38">
        <w:rPr>
          <w:rFonts w:ascii="Source Sans Pro" w:hAnsi="Source Sans Pro" w:hint="eastAsia"/>
          <w:sz w:val="22"/>
          <w:szCs w:val="22"/>
          <w:lang w:val="en-GB"/>
        </w:rPr>
        <w:t xml:space="preserve"> </w:t>
      </w:r>
      <w:r w:rsidRPr="00487A38">
        <w:rPr>
          <w:rFonts w:ascii="Source Sans Pro" w:hAnsi="Source Sans Pro"/>
          <w:sz w:val="22"/>
          <w:szCs w:val="22"/>
          <w:lang w:val="en-GB"/>
        </w:rPr>
        <w:t xml:space="preserve">No </w:t>
      </w:r>
    </w:p>
    <w:tbl>
      <w:tblPr>
        <w:tblStyle w:val="PlainTable11"/>
        <w:tblpPr w:leftFromText="180" w:rightFromText="180" w:vertAnchor="text" w:horzAnchor="margin" w:tblpXSpec="right" w:tblpY="-6"/>
        <w:tblW w:w="7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E9D7"/>
        <w:tblLayout w:type="fixed"/>
        <w:tblLook w:val="04A0" w:firstRow="1" w:lastRow="0" w:firstColumn="1" w:lastColumn="0" w:noHBand="0" w:noVBand="1"/>
      </w:tblPr>
      <w:tblGrid>
        <w:gridCol w:w="3686"/>
        <w:gridCol w:w="3974"/>
      </w:tblGrid>
      <w:tr w:rsidR="00457493" w14:paraId="4C47F9CE" w14:textId="77777777" w:rsidTr="005E28BD">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7660" w:type="dxa"/>
            <w:gridSpan w:val="2"/>
            <w:shd w:val="clear" w:color="auto" w:fill="FAE9D7"/>
            <w:hideMark/>
          </w:tcPr>
          <w:p w14:paraId="3CF2DE53" w14:textId="17445271" w:rsidR="00457493" w:rsidRPr="00457493" w:rsidRDefault="00457493" w:rsidP="005E28BD">
            <w:pPr>
              <w:spacing w:after="160" w:line="256" w:lineRule="auto"/>
              <w:rPr>
                <w:rFonts w:ascii="Calibri" w:hAnsi="Calibri" w:cs="Calibri"/>
                <w:i/>
                <w:iCs/>
                <w:noProof/>
                <w:sz w:val="18"/>
                <w:lang w:eastAsia="en-US"/>
              </w:rPr>
            </w:pPr>
            <w:r>
              <w:rPr>
                <w:rFonts w:ascii="Calibri" w:hAnsi="Calibri" w:cs="Calibri"/>
                <w:i/>
                <w:iCs/>
                <w:noProof/>
                <w:sz w:val="18"/>
                <w:lang w:eastAsia="en-US"/>
              </w:rPr>
              <w:t>The two graphs below show in green the minimum percentage of investments that are aligned with the EU Taxonomy. As there is no appropriate methodology to determine the Taxonomy-alignment of sovereign bonds*, t</w:t>
            </w:r>
            <w:r w:rsidRPr="007B7FC6">
              <w:rPr>
                <w:rFonts w:ascii="Calibri" w:hAnsi="Calibri" w:cs="Calibri"/>
                <w:i/>
                <w:iCs/>
                <w:noProof/>
                <w:sz w:val="18"/>
                <w:lang w:eastAsia="en-US"/>
              </w:rPr>
              <w:t>he first graph shows the Taxonomy alignment in relation to all the investments of the financial product including sovereign bonds, while the second graph shows the Taxonomy alignment only in relation to the investments of the financial product other than sovereign bonds.</w:t>
            </w:r>
          </w:p>
        </w:tc>
      </w:tr>
      <w:tr w:rsidR="00457493" w:rsidRPr="00965A52" w14:paraId="6D7A661F" w14:textId="77777777" w:rsidTr="005E28BD">
        <w:trPr>
          <w:cnfStyle w:val="000000100000" w:firstRow="0" w:lastRow="0" w:firstColumn="0" w:lastColumn="0" w:oddVBand="0" w:evenVBand="0" w:oddHBand="1" w:evenHBand="0" w:firstRowFirstColumn="0" w:firstRowLastColumn="0" w:lastRowFirstColumn="0" w:lastRowLastColumn="0"/>
          <w:trHeight w:val="2486"/>
        </w:trPr>
        <w:tc>
          <w:tcPr>
            <w:cnfStyle w:val="001000000000" w:firstRow="0" w:lastRow="0" w:firstColumn="1" w:lastColumn="0" w:oddVBand="0" w:evenVBand="0" w:oddHBand="0" w:evenHBand="0" w:firstRowFirstColumn="0" w:firstRowLastColumn="0" w:lastRowFirstColumn="0" w:lastRowLastColumn="0"/>
            <w:tcW w:w="3686" w:type="dxa"/>
            <w:shd w:val="clear" w:color="auto" w:fill="FAE9D7"/>
            <w:hideMark/>
          </w:tcPr>
          <w:p w14:paraId="00474402" w14:textId="77777777" w:rsidR="00457493" w:rsidRPr="00A87EAE" w:rsidRDefault="00457493" w:rsidP="005E28BD">
            <w:pPr>
              <w:rPr>
                <w:rFonts w:ascii="Calibri" w:hAnsi="Calibri"/>
                <w:b w:val="0"/>
                <w:bCs w:val="0"/>
                <w:noProof/>
                <w:sz w:val="18"/>
                <w:szCs w:val="24"/>
                <w:lang w:eastAsia="en-US"/>
              </w:rPr>
            </w:pPr>
            <w:r w:rsidRPr="00EC1666">
              <w:rPr>
                <w:rFonts w:ascii="Calibri" w:hAnsi="Calibri"/>
                <w:noProof/>
                <w:sz w:val="18"/>
              </w:rPr>
              <w:drawing>
                <wp:inline distT="0" distB="0" distL="0" distR="0" wp14:anchorId="59415708" wp14:editId="7E5BC5B0">
                  <wp:extent cx="2280920" cy="1743075"/>
                  <wp:effectExtent l="0" t="0" r="17780" b="952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3974" w:type="dxa"/>
            <w:shd w:val="clear" w:color="auto" w:fill="FAE9D7"/>
          </w:tcPr>
          <w:p w14:paraId="4908B0FB" w14:textId="77777777" w:rsidR="00457493" w:rsidRPr="00A87EAE" w:rsidRDefault="00457493" w:rsidP="005E28BD">
            <w:pPr>
              <w:spacing w:after="160" w:line="256" w:lineRule="auto"/>
              <w:ind w:left="37"/>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noProof/>
                <w:sz w:val="18"/>
                <w:u w:val="single"/>
                <w:lang w:eastAsia="en-US"/>
              </w:rPr>
            </w:pPr>
            <w:r w:rsidRPr="00EC1666">
              <w:rPr>
                <w:rFonts w:ascii="Calibri" w:hAnsi="Calibri"/>
                <w:noProof/>
                <w:sz w:val="18"/>
              </w:rPr>
              <w:drawing>
                <wp:inline distT="0" distB="0" distL="0" distR="0" wp14:anchorId="41DE81AD" wp14:editId="0873944C">
                  <wp:extent cx="2359025" cy="1743389"/>
                  <wp:effectExtent l="0" t="0" r="15875" b="952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457493" w:rsidRPr="00965A52" w14:paraId="7B53CF36" w14:textId="77777777" w:rsidTr="005E28BD">
        <w:trPr>
          <w:trHeight w:val="52"/>
        </w:trPr>
        <w:tc>
          <w:tcPr>
            <w:cnfStyle w:val="001000000000" w:firstRow="0" w:lastRow="0" w:firstColumn="1" w:lastColumn="0" w:oddVBand="0" w:evenVBand="0" w:oddHBand="0" w:evenHBand="0" w:firstRowFirstColumn="0" w:firstRowLastColumn="0" w:lastRowFirstColumn="0" w:lastRowLastColumn="0"/>
            <w:tcW w:w="7660" w:type="dxa"/>
            <w:gridSpan w:val="2"/>
            <w:shd w:val="clear" w:color="auto" w:fill="FAE9D7"/>
          </w:tcPr>
          <w:p w14:paraId="0BACB2CB" w14:textId="77777777" w:rsidR="00457493" w:rsidRPr="00965A52" w:rsidRDefault="00457493" w:rsidP="005E28BD">
            <w:pPr>
              <w:spacing w:line="256" w:lineRule="auto"/>
              <w:ind w:left="37"/>
              <w:rPr>
                <w:rFonts w:ascii="Calibri" w:hAnsi="Calibri"/>
                <w:noProof/>
                <w:sz w:val="18"/>
                <w:szCs w:val="24"/>
              </w:rPr>
            </w:pPr>
            <w:r w:rsidRPr="00965A52">
              <w:rPr>
                <w:rFonts w:ascii="Calibri" w:hAnsi="Calibri"/>
                <w:b w:val="0"/>
                <w:noProof/>
                <w:sz w:val="18"/>
                <w:szCs w:val="24"/>
                <w:lang w:eastAsia="en-US"/>
              </w:rPr>
              <w:t xml:space="preserve">* </w:t>
            </w:r>
            <w:r>
              <w:rPr>
                <w:rFonts w:ascii="Calibri" w:hAnsi="Calibri"/>
                <w:b w:val="0"/>
                <w:noProof/>
                <w:sz w:val="18"/>
                <w:szCs w:val="24"/>
                <w:lang w:eastAsia="en-US"/>
              </w:rPr>
              <w:t xml:space="preserve"> </w:t>
            </w:r>
            <w:r w:rsidRPr="008001BE">
              <w:rPr>
                <w:rFonts w:ascii="Calibri" w:hAnsi="Calibri" w:cs="Calibri"/>
                <w:b w:val="0"/>
                <w:i/>
                <w:iCs/>
                <w:noProof/>
                <w:sz w:val="18"/>
                <w:lang w:eastAsia="en-US"/>
              </w:rPr>
              <w:t xml:space="preserve"> For the purpose of these graphs,</w:t>
            </w:r>
            <w:r w:rsidRPr="00D22D85">
              <w:rPr>
                <w:rFonts w:ascii="Calibri" w:hAnsi="Calibri" w:cs="Calibri"/>
                <w:b w:val="0"/>
                <w:i/>
                <w:iCs/>
                <w:noProof/>
                <w:sz w:val="18"/>
                <w:lang w:eastAsia="en-US"/>
              </w:rPr>
              <w:t xml:space="preserve"> ‘</w:t>
            </w:r>
            <w:r>
              <w:rPr>
                <w:rFonts w:ascii="Calibri" w:hAnsi="Calibri" w:cs="Calibri"/>
                <w:b w:val="0"/>
                <w:i/>
                <w:iCs/>
                <w:noProof/>
                <w:sz w:val="18"/>
                <w:lang w:eastAsia="en-US"/>
              </w:rPr>
              <w:t xml:space="preserve">sovereign bonds’ consist of all </w:t>
            </w:r>
            <w:r w:rsidRPr="00965A52">
              <w:rPr>
                <w:rFonts w:ascii="Calibri" w:hAnsi="Calibri" w:cs="Calibri"/>
                <w:b w:val="0"/>
                <w:i/>
                <w:iCs/>
                <w:noProof/>
                <w:sz w:val="18"/>
                <w:lang w:eastAsia="en-US"/>
              </w:rPr>
              <w:t>sovereign exposures</w:t>
            </w:r>
            <w:r>
              <w:rPr>
                <w:rFonts w:ascii="Calibri" w:hAnsi="Calibri" w:cs="Calibri"/>
                <w:b w:val="0"/>
                <w:i/>
                <w:iCs/>
                <w:noProof/>
                <w:sz w:val="18"/>
                <w:lang w:eastAsia="en-US"/>
              </w:rPr>
              <w:t>.</w:t>
            </w:r>
          </w:p>
        </w:tc>
      </w:tr>
    </w:tbl>
    <w:p w14:paraId="0A18EBC1" w14:textId="7815D35E" w:rsidR="00457493" w:rsidRPr="00BA6742" w:rsidRDefault="00457493" w:rsidP="00BA6742">
      <w:pPr>
        <w:pStyle w:val="NormalWeb"/>
        <w:spacing w:line="360" w:lineRule="auto"/>
        <w:rPr>
          <w:rFonts w:ascii="Source Sans Pro" w:hAnsi="Source Sans Pro"/>
          <w:sz w:val="22"/>
          <w:szCs w:val="22"/>
          <w:lang w:val="en-GB"/>
        </w:rPr>
      </w:pPr>
    </w:p>
    <w:p w14:paraId="4815A3DF" w14:textId="4D0FAD45" w:rsidR="00AB1EEE" w:rsidRPr="004346A9" w:rsidRDefault="00AB1EEE" w:rsidP="00AB1EEE">
      <w:pPr>
        <w:rPr>
          <w:rFonts w:ascii="Source Sans Pro" w:hAnsi="Source Sans Pro" w:cs="Times New Roman"/>
        </w:rPr>
      </w:pPr>
    </w:p>
    <w:p w14:paraId="013C6F31" w14:textId="025E4179" w:rsidR="00AB1EEE" w:rsidRDefault="00AB1EEE" w:rsidP="00AB1EEE">
      <w:pPr>
        <w:ind w:left="567"/>
        <w:rPr>
          <w:rFonts w:ascii="Source Sans Pro" w:hAnsi="Source Sans Pro" w:cs="Times New Roman"/>
        </w:rPr>
      </w:pPr>
    </w:p>
    <w:p w14:paraId="1FCBF54B" w14:textId="25ADE5A1" w:rsidR="00457493" w:rsidRDefault="00457493" w:rsidP="00AB1EEE">
      <w:pPr>
        <w:ind w:left="567"/>
        <w:rPr>
          <w:rFonts w:ascii="Source Sans Pro" w:hAnsi="Source Sans Pro" w:cs="Times New Roman"/>
        </w:rPr>
      </w:pPr>
    </w:p>
    <w:p w14:paraId="5681F7C0" w14:textId="50D34EAE" w:rsidR="00457493" w:rsidRDefault="00457493" w:rsidP="00AB1EEE">
      <w:pPr>
        <w:ind w:left="567"/>
        <w:rPr>
          <w:rFonts w:ascii="Source Sans Pro" w:hAnsi="Source Sans Pro" w:cs="Times New Roman"/>
        </w:rPr>
      </w:pPr>
    </w:p>
    <w:p w14:paraId="4E95AC49" w14:textId="20FB78C8" w:rsidR="00457493" w:rsidRDefault="00457493" w:rsidP="00AB1EEE">
      <w:pPr>
        <w:ind w:left="567"/>
        <w:rPr>
          <w:rFonts w:ascii="Source Sans Pro" w:hAnsi="Source Sans Pro" w:cs="Times New Roman"/>
        </w:rPr>
      </w:pPr>
    </w:p>
    <w:p w14:paraId="04B92C63" w14:textId="7B874051" w:rsidR="00457493" w:rsidRDefault="00457493" w:rsidP="00AB1EEE">
      <w:pPr>
        <w:ind w:left="567"/>
        <w:rPr>
          <w:rFonts w:ascii="Source Sans Pro" w:hAnsi="Source Sans Pro" w:cs="Times New Roman"/>
        </w:rPr>
      </w:pPr>
    </w:p>
    <w:p w14:paraId="4A230869" w14:textId="77777777" w:rsidR="00457493" w:rsidRDefault="00457493" w:rsidP="00AB1EEE">
      <w:pPr>
        <w:ind w:left="567"/>
        <w:rPr>
          <w:rFonts w:ascii="Source Sans Pro" w:hAnsi="Source Sans Pro" w:cs="Times New Roman"/>
        </w:rPr>
      </w:pPr>
    </w:p>
    <w:p w14:paraId="3E91AD68" w14:textId="0C472780" w:rsidR="00457493" w:rsidRDefault="00457493" w:rsidP="00AB1EEE">
      <w:pPr>
        <w:ind w:left="567"/>
        <w:rPr>
          <w:rFonts w:ascii="Source Sans Pro" w:hAnsi="Source Sans Pro" w:cs="Times New Roman"/>
        </w:rPr>
      </w:pPr>
    </w:p>
    <w:p w14:paraId="6D2F4BE1" w14:textId="29F8A792" w:rsidR="00457493" w:rsidRDefault="00457493" w:rsidP="00AB1EEE">
      <w:pPr>
        <w:ind w:left="567"/>
        <w:rPr>
          <w:rFonts w:ascii="Source Sans Pro" w:hAnsi="Source Sans Pro" w:cs="Times New Roman"/>
        </w:rPr>
      </w:pPr>
    </w:p>
    <w:p w14:paraId="021F60F6" w14:textId="77777777" w:rsidR="00457493" w:rsidRDefault="00457493" w:rsidP="00AB1EEE">
      <w:pPr>
        <w:ind w:left="567"/>
        <w:rPr>
          <w:rFonts w:ascii="Source Sans Pro" w:hAnsi="Source Sans Pro" w:cs="Times New Roman"/>
        </w:rPr>
      </w:pPr>
    </w:p>
    <w:p w14:paraId="492E2161" w14:textId="35C0289D" w:rsidR="00457493" w:rsidRDefault="00457493" w:rsidP="00AB1EEE">
      <w:pPr>
        <w:ind w:left="567"/>
        <w:rPr>
          <w:rFonts w:ascii="Source Sans Pro" w:hAnsi="Source Sans Pro" w:cs="Times New Roman"/>
        </w:rPr>
      </w:pPr>
    </w:p>
    <w:p w14:paraId="2868C7FF" w14:textId="77777777" w:rsidR="00457493" w:rsidRDefault="00457493" w:rsidP="00AB1EEE">
      <w:pPr>
        <w:ind w:left="567"/>
        <w:rPr>
          <w:rFonts w:ascii="Source Sans Pro" w:hAnsi="Source Sans Pro" w:cs="Times New Roman"/>
        </w:rPr>
      </w:pPr>
    </w:p>
    <w:p w14:paraId="1A951E89" w14:textId="5C770C0B" w:rsidR="00457493" w:rsidRDefault="00457493" w:rsidP="00AB1EEE">
      <w:pPr>
        <w:ind w:left="567"/>
        <w:rPr>
          <w:rFonts w:ascii="Source Sans Pro" w:hAnsi="Source Sans Pro" w:cs="Times New Roman"/>
        </w:rPr>
      </w:pPr>
    </w:p>
    <w:p w14:paraId="3FCBA10A" w14:textId="77777777" w:rsidR="00457493" w:rsidRDefault="00457493" w:rsidP="00AB1EEE">
      <w:pPr>
        <w:ind w:left="567"/>
        <w:rPr>
          <w:rFonts w:ascii="Source Sans Pro" w:hAnsi="Source Sans Pro" w:cs="Times New Roman"/>
        </w:rPr>
      </w:pPr>
    </w:p>
    <w:p w14:paraId="1A3309B0" w14:textId="51757E27" w:rsidR="00457493" w:rsidRDefault="00457493" w:rsidP="00AB1EEE">
      <w:pPr>
        <w:ind w:left="567"/>
        <w:rPr>
          <w:rFonts w:ascii="Source Sans Pro" w:hAnsi="Source Sans Pro" w:cs="Times New Roman"/>
        </w:rPr>
      </w:pPr>
    </w:p>
    <w:p w14:paraId="59DBCA89" w14:textId="77777777" w:rsidR="002F23E8" w:rsidRPr="004346A9" w:rsidRDefault="002F23E8" w:rsidP="002F23E8">
      <w:pPr>
        <w:rPr>
          <w:rFonts w:ascii="Source Sans Pro" w:hAnsi="Source Sans Pro"/>
          <w:i/>
          <w:iCs/>
        </w:rPr>
      </w:pPr>
      <w:r w:rsidRPr="004346A9">
        <w:rPr>
          <w:rFonts w:ascii="Source Sans Pro" w:hAnsi="Source Sans Pro"/>
          <w:i/>
          <w:iCs/>
        </w:rPr>
        <w:t>What is the minimum share of investments in transitional and enabling activities?</w:t>
      </w:r>
    </w:p>
    <w:p w14:paraId="5FF5BDFD" w14:textId="3686CF3A" w:rsidR="002F23E8" w:rsidRPr="004346A9" w:rsidRDefault="002F23E8" w:rsidP="002F23E8">
      <w:pPr>
        <w:rPr>
          <w:rFonts w:ascii="Source Sans Pro" w:hAnsi="Source Sans Pro"/>
          <w:i/>
          <w:iCs/>
        </w:rPr>
      </w:pPr>
    </w:p>
    <w:p w14:paraId="7186730A" w14:textId="27AB8D91" w:rsidR="002F23E8" w:rsidRPr="004346A9" w:rsidRDefault="002F23E8" w:rsidP="00571B17">
      <w:pPr>
        <w:ind w:firstLine="708"/>
        <w:rPr>
          <w:rFonts w:ascii="Source Sans Pro" w:hAnsi="Source Sans Pro"/>
        </w:rPr>
      </w:pPr>
      <w:r w:rsidRPr="004346A9">
        <w:rPr>
          <w:rFonts w:ascii="Source Sans Pro" w:hAnsi="Source Sans Pro"/>
        </w:rPr>
        <w:t>The Fund does not commit to invest in transitional nor enabling activities.</w:t>
      </w:r>
    </w:p>
    <w:p w14:paraId="3BA9C541" w14:textId="3DCF6CD5" w:rsidR="00457493" w:rsidRDefault="00457493" w:rsidP="00AB1EEE">
      <w:pPr>
        <w:ind w:left="567"/>
        <w:rPr>
          <w:rFonts w:ascii="Source Sans Pro" w:hAnsi="Source Sans Pro" w:cs="Times New Roman"/>
        </w:rPr>
      </w:pPr>
    </w:p>
    <w:p w14:paraId="736EBEDB" w14:textId="7DE88A4D" w:rsidR="00457493" w:rsidRDefault="00457493" w:rsidP="00AB1EEE">
      <w:pPr>
        <w:ind w:left="567"/>
        <w:rPr>
          <w:rFonts w:ascii="Source Sans Pro" w:hAnsi="Source Sans Pro" w:cs="Times New Roman"/>
        </w:rPr>
      </w:pPr>
    </w:p>
    <w:p w14:paraId="4F98773A" w14:textId="77777777" w:rsidR="00CF26EA" w:rsidRDefault="00CF26EA" w:rsidP="00AB1EEE">
      <w:pPr>
        <w:ind w:left="567"/>
        <w:rPr>
          <w:rFonts w:ascii="Source Sans Pro" w:hAnsi="Source Sans Pro" w:cs="Times New Roman"/>
        </w:rPr>
      </w:pPr>
    </w:p>
    <w:p w14:paraId="7E42B3F7" w14:textId="77777777" w:rsidR="00CF26EA" w:rsidRDefault="00CF26EA" w:rsidP="00AB1EEE">
      <w:pPr>
        <w:ind w:left="567"/>
        <w:rPr>
          <w:rFonts w:ascii="Source Sans Pro" w:hAnsi="Source Sans Pro" w:cs="Times New Roman"/>
        </w:rPr>
      </w:pPr>
    </w:p>
    <w:p w14:paraId="55F188F8" w14:textId="77777777" w:rsidR="00CF26EA" w:rsidRDefault="00CF26EA" w:rsidP="00AB1EEE">
      <w:pPr>
        <w:ind w:left="567"/>
        <w:rPr>
          <w:rFonts w:ascii="Source Sans Pro" w:hAnsi="Source Sans Pro" w:cs="Times New Roman"/>
        </w:rPr>
      </w:pPr>
    </w:p>
    <w:p w14:paraId="2BD3ED44" w14:textId="77777777" w:rsidR="00CF26EA" w:rsidRDefault="00CF26EA" w:rsidP="00AB1EEE">
      <w:pPr>
        <w:ind w:left="567"/>
        <w:rPr>
          <w:rFonts w:ascii="Source Sans Pro" w:hAnsi="Source Sans Pro" w:cs="Times New Roman"/>
        </w:rPr>
      </w:pPr>
    </w:p>
    <w:p w14:paraId="6EA39EDC" w14:textId="20A53A35" w:rsidR="00457493" w:rsidRDefault="00457493" w:rsidP="00AB1EEE">
      <w:pPr>
        <w:ind w:left="567"/>
        <w:rPr>
          <w:rFonts w:ascii="Source Sans Pro" w:hAnsi="Source Sans Pro" w:cs="Times New Roman"/>
        </w:rPr>
      </w:pPr>
    </w:p>
    <w:p w14:paraId="38866EA0" w14:textId="77777777" w:rsidR="00CF26EA" w:rsidRDefault="00CF26EA" w:rsidP="00AB1EEE">
      <w:pPr>
        <w:ind w:left="567"/>
        <w:rPr>
          <w:rFonts w:ascii="Source Sans Pro" w:hAnsi="Source Sans Pro" w:cs="Times New Roman"/>
        </w:rPr>
      </w:pPr>
    </w:p>
    <w:p w14:paraId="226771BD" w14:textId="77777777" w:rsidR="00CF26EA" w:rsidRDefault="00CF26EA" w:rsidP="00AB1EEE">
      <w:pPr>
        <w:ind w:left="567"/>
        <w:rPr>
          <w:rFonts w:ascii="Source Sans Pro" w:hAnsi="Source Sans Pro" w:cs="Times New Roman"/>
        </w:rPr>
      </w:pPr>
    </w:p>
    <w:p w14:paraId="450E2302" w14:textId="77777777" w:rsidR="00CF26EA" w:rsidRPr="004346A9" w:rsidRDefault="00CF26EA" w:rsidP="00AB1EEE">
      <w:pPr>
        <w:ind w:left="567"/>
        <w:rPr>
          <w:rFonts w:ascii="Source Sans Pro" w:hAnsi="Source Sans Pro" w:cs="Times New Roman"/>
        </w:rPr>
      </w:pPr>
    </w:p>
    <w:p w14:paraId="068261BA" w14:textId="630F6D28" w:rsidR="00AB1EEE" w:rsidRPr="004346A9" w:rsidRDefault="00AB1EEE" w:rsidP="00AB1EEE">
      <w:pPr>
        <w:numPr>
          <w:ilvl w:val="3"/>
          <w:numId w:val="9"/>
        </w:numPr>
        <w:ind w:left="1710"/>
        <w:rPr>
          <w:rFonts w:ascii="Source Sans Pro" w:hAnsi="Source Sans Pro" w:cs="Times New Roman"/>
        </w:rPr>
      </w:pPr>
      <w:r w:rsidRPr="004346A9">
        <w:rPr>
          <w:rFonts w:ascii="Source Sans Pro" w:hAnsi="Source Sans Pro" w:cs="Times New Roman"/>
          <w:b/>
        </w:rPr>
        <w:lastRenderedPageBreak/>
        <w:t>What is the minimum share of sustainable investments with an environmental objective that are not aligned with the EU Taxonomy?</w:t>
      </w:r>
      <w:r w:rsidRPr="004346A9">
        <w:rPr>
          <w:rFonts w:ascii="Source Sans Pro" w:hAnsi="Source Sans Pro"/>
          <w:noProof/>
        </w:rPr>
        <w:drawing>
          <wp:anchor distT="0" distB="0" distL="114300" distR="114300" simplePos="0" relativeHeight="251665408" behindDoc="1" locked="0" layoutInCell="1" hidden="0" allowOverlap="1" wp14:anchorId="229EB0E9" wp14:editId="6F27228F">
            <wp:simplePos x="0" y="0"/>
            <wp:positionH relativeFrom="column">
              <wp:posOffset>-9524</wp:posOffset>
            </wp:positionH>
            <wp:positionV relativeFrom="paragraph">
              <wp:posOffset>0</wp:posOffset>
            </wp:positionV>
            <wp:extent cx="542925" cy="466725"/>
            <wp:effectExtent l="0" t="0" r="0" b="0"/>
            <wp:wrapNone/>
            <wp:docPr id="8" name="image3.png" descr="Une image contenant horloge, jaug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3.png" descr="Une image contenant horloge, jauge&#10;&#10;Description générée automatiquement"/>
                    <pic:cNvPicPr preferRelativeResize="0"/>
                  </pic:nvPicPr>
                  <pic:blipFill>
                    <a:blip r:embed="rId22"/>
                    <a:srcRect/>
                    <a:stretch>
                      <a:fillRect/>
                    </a:stretch>
                  </pic:blipFill>
                  <pic:spPr>
                    <a:xfrm>
                      <a:off x="0" y="0"/>
                      <a:ext cx="542925" cy="466725"/>
                    </a:xfrm>
                    <a:prstGeom prst="rect">
                      <a:avLst/>
                    </a:prstGeom>
                    <a:ln/>
                  </pic:spPr>
                </pic:pic>
              </a:graphicData>
            </a:graphic>
          </wp:anchor>
        </w:drawing>
      </w:r>
    </w:p>
    <w:p w14:paraId="52EBD584" w14:textId="75D87202" w:rsidR="00AB1EEE" w:rsidRPr="004346A9" w:rsidRDefault="00CF26EA" w:rsidP="00AB1EEE">
      <w:pPr>
        <w:rPr>
          <w:rFonts w:ascii="Source Sans Pro" w:hAnsi="Source Sans Pro" w:cs="Times New Roman"/>
        </w:rPr>
      </w:pPr>
      <w:r w:rsidRPr="003A1C01">
        <w:rPr>
          <w:rFonts w:ascii="Calibri" w:hAnsi="Calibri"/>
          <w:noProof/>
          <w:szCs w:val="24"/>
        </w:rPr>
        <mc:AlternateContent>
          <mc:Choice Requires="wps">
            <w:drawing>
              <wp:anchor distT="0" distB="0" distL="114300" distR="114300" simplePos="0" relativeHeight="251692032" behindDoc="0" locked="0" layoutInCell="1" allowOverlap="1" wp14:anchorId="38D53B21" wp14:editId="4C43124C">
                <wp:simplePos x="0" y="0"/>
                <wp:positionH relativeFrom="page">
                  <wp:posOffset>23495</wp:posOffset>
                </wp:positionH>
                <wp:positionV relativeFrom="margin">
                  <wp:posOffset>544663</wp:posOffset>
                </wp:positionV>
                <wp:extent cx="1090295" cy="1972945"/>
                <wp:effectExtent l="0" t="0" r="1905" b="0"/>
                <wp:wrapSquare wrapText="bothSides"/>
                <wp:docPr id="469250970" name="Rectangle 469250970"/>
                <wp:cNvGraphicFramePr/>
                <a:graphic xmlns:a="http://schemas.openxmlformats.org/drawingml/2006/main">
                  <a:graphicData uri="http://schemas.microsoft.com/office/word/2010/wordprocessingShape">
                    <wps:wsp>
                      <wps:cNvSpPr/>
                      <wps:spPr>
                        <a:xfrm>
                          <a:off x="0" y="0"/>
                          <a:ext cx="1090295" cy="1972945"/>
                        </a:xfrm>
                        <a:prstGeom prst="rect">
                          <a:avLst/>
                        </a:prstGeom>
                        <a:solidFill>
                          <a:sysClr val="window" lastClr="FFFFFF">
                            <a:lumMod val="95000"/>
                          </a:sysClr>
                        </a:solidFill>
                        <a:ln w="12700" cap="flat" cmpd="sng" algn="ctr">
                          <a:noFill/>
                          <a:prstDash val="solid"/>
                          <a:miter lim="800000"/>
                        </a:ln>
                        <a:effectLst/>
                      </wps:spPr>
                      <wps:txbx>
                        <w:txbxContent>
                          <w:p w14:paraId="31245423" w14:textId="77777777" w:rsidR="00BD057B" w:rsidRPr="00BD057B" w:rsidRDefault="00BD057B" w:rsidP="00D21FBB">
                            <w:pPr>
                              <w:ind w:left="-142" w:right="-318"/>
                              <w:jc w:val="left"/>
                              <w:rPr>
                                <w:rFonts w:asciiTheme="minorHAnsi" w:hAnsiTheme="minorHAnsi" w:cstheme="minorHAnsi"/>
                                <w:bCs/>
                                <w:color w:val="000000"/>
                                <w:sz w:val="18"/>
                                <w:szCs w:val="21"/>
                              </w:rPr>
                            </w:pPr>
                            <w:r w:rsidRPr="00BD057B">
                              <w:rPr>
                                <w:noProof/>
                                <w:sz w:val="21"/>
                                <w:szCs w:val="21"/>
                              </w:rPr>
                              <w:t xml:space="preserve">   </w:t>
                            </w:r>
                            <w:r w:rsidRPr="00BD057B">
                              <w:rPr>
                                <w:noProof/>
                                <w:sz w:val="21"/>
                                <w:szCs w:val="21"/>
                              </w:rPr>
                              <w:drawing>
                                <wp:inline distT="0" distB="0" distL="0" distR="0" wp14:anchorId="59BC822E" wp14:editId="2FDAF2C8">
                                  <wp:extent cx="277978" cy="264312"/>
                                  <wp:effectExtent l="0" t="0" r="8255" b="2540"/>
                                  <wp:docPr id="1750447844" name="Graphique 1750447844"/>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82736" cy="268836"/>
                                          </a:xfrm>
                                          <a:prstGeom prst="rect">
                                            <a:avLst/>
                                          </a:prstGeom>
                                        </pic:spPr>
                                      </pic:pic>
                                    </a:graphicData>
                                  </a:graphic>
                                </wp:inline>
                              </w:drawing>
                            </w:r>
                            <w:r w:rsidRPr="00BD057B">
                              <w:rPr>
                                <w:noProof/>
                                <w:sz w:val="18"/>
                                <w:szCs w:val="21"/>
                              </w:rPr>
                              <w:t xml:space="preserve"> </w:t>
                            </w:r>
                            <w:r w:rsidRPr="00BD057B">
                              <w:rPr>
                                <w:rFonts w:asciiTheme="minorHAnsi" w:hAnsiTheme="minorHAnsi" w:cstheme="minorHAnsi"/>
                                <w:noProof/>
                                <w:sz w:val="18"/>
                                <w:szCs w:val="21"/>
                              </w:rPr>
                              <w:t xml:space="preserve">are sustainable investments with an environmental objective that </w:t>
                            </w:r>
                            <w:r w:rsidRPr="00BD057B">
                              <w:rPr>
                                <w:rFonts w:asciiTheme="minorHAnsi" w:hAnsiTheme="minorHAnsi" w:cstheme="minorHAnsi"/>
                                <w:b/>
                                <w:noProof/>
                                <w:sz w:val="18"/>
                                <w:szCs w:val="21"/>
                              </w:rPr>
                              <w:t>do not take into account the criteria</w:t>
                            </w:r>
                            <w:r w:rsidRPr="00BD057B">
                              <w:rPr>
                                <w:rFonts w:asciiTheme="minorHAnsi" w:hAnsiTheme="minorHAnsi" w:cstheme="minorHAnsi"/>
                                <w:noProof/>
                                <w:sz w:val="18"/>
                                <w:szCs w:val="21"/>
                              </w:rPr>
                              <w:t xml:space="preserve"> for environmentaly sustainable economic activities under the EU Taxonomy. </w:t>
                            </w:r>
                          </w:p>
                          <w:p w14:paraId="051DF1F1" w14:textId="77777777" w:rsidR="00BD057B" w:rsidRPr="00BD057B" w:rsidRDefault="00BD057B" w:rsidP="00D21FBB">
                            <w:pPr>
                              <w:ind w:left="-142" w:right="-139"/>
                              <w:jc w:val="left"/>
                              <w:rPr>
                                <w:rFonts w:asciiTheme="minorHAnsi" w:hAnsiTheme="minorHAnsi" w:cstheme="minorHAnsi"/>
                                <w:bCs/>
                                <w:color w:val="000000"/>
                                <w:sz w:val="15"/>
                                <w:szCs w:val="18"/>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53B21" id="Rectangle 469250970" o:spid="_x0000_s1035" style="position:absolute;left:0;text-align:left;margin-left:1.85pt;margin-top:42.9pt;width:85.85pt;height:155.3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" fillcolor="#f2f2f2" stroked="f" strokeweight="1pt">
                <v:textbox inset="4mm,1mm,7mm">
                  <w:txbxContent>
                    <w:p w14:paraId="31245423" w14:textId="77777777" w:rsidR="00BD057B" w:rsidRPr="00BD057B" w:rsidRDefault="00BD057B" w:rsidP="00D21FBB">
                      <w:pPr>
                        <w:ind w:left="-142" w:right="-318"/>
                        <w:jc w:val="left"/>
                        <w:rPr>
                          <w:rFonts w:asciiTheme="minorHAnsi" w:hAnsiTheme="minorHAnsi" w:cstheme="minorHAnsi"/>
                          <w:bCs/>
                          <w:color w:val="000000"/>
                          <w:sz w:val="18"/>
                          <w:szCs w:val="21"/>
                        </w:rPr>
                      </w:pPr>
                      <w:r w:rsidRPr="00BD057B">
                        <w:rPr>
                          <w:noProof/>
                          <w:sz w:val="21"/>
                          <w:szCs w:val="21"/>
                        </w:rPr>
                        <w:t xml:space="preserve">   </w:t>
                      </w:r>
                      <w:r w:rsidRPr="00BD057B">
                        <w:rPr>
                          <w:noProof/>
                          <w:sz w:val="21"/>
                          <w:szCs w:val="21"/>
                        </w:rPr>
                        <w:drawing>
                          <wp:inline distT="0" distB="0" distL="0" distR="0" wp14:anchorId="59BC822E" wp14:editId="2FDAF2C8">
                            <wp:extent cx="277978" cy="264312"/>
                            <wp:effectExtent l="0" t="0" r="8255" b="2540"/>
                            <wp:docPr id="1750447844" name="Graphique 1750447844"/>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82736" cy="268836"/>
                                    </a:xfrm>
                                    <a:prstGeom prst="rect">
                                      <a:avLst/>
                                    </a:prstGeom>
                                  </pic:spPr>
                                </pic:pic>
                              </a:graphicData>
                            </a:graphic>
                          </wp:inline>
                        </w:drawing>
                      </w:r>
                      <w:r w:rsidRPr="00BD057B">
                        <w:rPr>
                          <w:noProof/>
                          <w:sz w:val="18"/>
                          <w:szCs w:val="21"/>
                        </w:rPr>
                        <w:t xml:space="preserve"> </w:t>
                      </w:r>
                      <w:r w:rsidRPr="00BD057B">
                        <w:rPr>
                          <w:rFonts w:asciiTheme="minorHAnsi" w:hAnsiTheme="minorHAnsi" w:cstheme="minorHAnsi"/>
                          <w:noProof/>
                          <w:sz w:val="18"/>
                          <w:szCs w:val="21"/>
                        </w:rPr>
                        <w:t xml:space="preserve">are sustainable investments with an environmental objective that </w:t>
                      </w:r>
                      <w:r w:rsidRPr="00BD057B">
                        <w:rPr>
                          <w:rFonts w:asciiTheme="minorHAnsi" w:hAnsiTheme="minorHAnsi" w:cstheme="minorHAnsi"/>
                          <w:b/>
                          <w:noProof/>
                          <w:sz w:val="18"/>
                          <w:szCs w:val="21"/>
                        </w:rPr>
                        <w:t>do not take into account the criteria</w:t>
                      </w:r>
                      <w:r w:rsidRPr="00BD057B">
                        <w:rPr>
                          <w:rFonts w:asciiTheme="minorHAnsi" w:hAnsiTheme="minorHAnsi" w:cstheme="minorHAnsi"/>
                          <w:noProof/>
                          <w:sz w:val="18"/>
                          <w:szCs w:val="21"/>
                        </w:rPr>
                        <w:t xml:space="preserve"> for environmentaly sustainable economic activities under the EU Taxonomy. </w:t>
                      </w:r>
                    </w:p>
                    <w:p w14:paraId="051DF1F1" w14:textId="77777777" w:rsidR="00BD057B" w:rsidRPr="00BD057B" w:rsidRDefault="00BD057B" w:rsidP="00D21FBB">
                      <w:pPr>
                        <w:ind w:left="-142" w:right="-139"/>
                        <w:jc w:val="left"/>
                        <w:rPr>
                          <w:rFonts w:asciiTheme="minorHAnsi" w:hAnsiTheme="minorHAnsi" w:cstheme="minorHAnsi"/>
                          <w:bCs/>
                          <w:color w:val="000000"/>
                          <w:sz w:val="15"/>
                          <w:szCs w:val="18"/>
                        </w:rPr>
                      </w:pPr>
                    </w:p>
                  </w:txbxContent>
                </v:textbox>
                <w10:wrap type="square" anchorx="page" anchory="margin"/>
              </v:rect>
            </w:pict>
          </mc:Fallback>
        </mc:AlternateContent>
      </w:r>
    </w:p>
    <w:p w14:paraId="22257E18" w14:textId="0B25434B" w:rsidR="00D15428" w:rsidRPr="004346A9" w:rsidRDefault="00D15428" w:rsidP="00D21FBB">
      <w:pPr>
        <w:rPr>
          <w:rFonts w:ascii="Source Sans Pro" w:hAnsi="Source Sans Pro" w:cs="Times New Roman"/>
        </w:rPr>
      </w:pPr>
      <w:r w:rsidRPr="004346A9">
        <w:rPr>
          <w:rFonts w:ascii="Source Sans Pro" w:hAnsi="Source Sans Pro" w:cs="Times New Roman"/>
        </w:rPr>
        <w:t>None, as the product does not and will not commit to make any sustainable investments.</w:t>
      </w:r>
    </w:p>
    <w:p w14:paraId="7255027E" w14:textId="57F66D45" w:rsidR="00AB1EEE" w:rsidRPr="004346A9" w:rsidRDefault="00AB1EEE" w:rsidP="00AB1EEE">
      <w:pPr>
        <w:rPr>
          <w:rFonts w:ascii="Source Sans Pro" w:hAnsi="Source Sans Pro" w:cs="Times New Roman"/>
        </w:rPr>
      </w:pPr>
    </w:p>
    <w:p w14:paraId="424D8832" w14:textId="79F98E63" w:rsidR="00AB1EEE" w:rsidRDefault="00AB1EEE" w:rsidP="004346A9">
      <w:pPr>
        <w:rPr>
          <w:rFonts w:ascii="Source Sans Pro" w:hAnsi="Source Sans Pro" w:cs="Times New Roman"/>
        </w:rPr>
      </w:pPr>
    </w:p>
    <w:p w14:paraId="44DBBF65" w14:textId="77777777" w:rsidR="00D21FBB" w:rsidRDefault="00D21FBB" w:rsidP="004346A9">
      <w:pPr>
        <w:rPr>
          <w:rFonts w:ascii="Source Sans Pro" w:hAnsi="Source Sans Pro" w:cs="Times New Roman"/>
        </w:rPr>
      </w:pPr>
    </w:p>
    <w:p w14:paraId="7A1F691A" w14:textId="77777777" w:rsidR="00D21FBB" w:rsidRDefault="00D21FBB" w:rsidP="004346A9">
      <w:pPr>
        <w:rPr>
          <w:rFonts w:ascii="Source Sans Pro" w:hAnsi="Source Sans Pro" w:cs="Times New Roman"/>
        </w:rPr>
      </w:pPr>
    </w:p>
    <w:p w14:paraId="09F83B99" w14:textId="77777777" w:rsidR="00D21FBB" w:rsidRDefault="00D21FBB" w:rsidP="004346A9">
      <w:pPr>
        <w:rPr>
          <w:rFonts w:ascii="Source Sans Pro" w:hAnsi="Source Sans Pro" w:cs="Times New Roman"/>
        </w:rPr>
      </w:pPr>
    </w:p>
    <w:p w14:paraId="49295D0D" w14:textId="77777777" w:rsidR="00CF26EA" w:rsidRDefault="00CF26EA" w:rsidP="004346A9">
      <w:pPr>
        <w:rPr>
          <w:rFonts w:ascii="Source Sans Pro" w:hAnsi="Source Sans Pro" w:cs="Times New Roman"/>
        </w:rPr>
      </w:pPr>
    </w:p>
    <w:p w14:paraId="7260A913" w14:textId="77777777" w:rsidR="00CF26EA" w:rsidRDefault="00CF26EA" w:rsidP="004346A9">
      <w:pPr>
        <w:rPr>
          <w:rFonts w:ascii="Source Sans Pro" w:hAnsi="Source Sans Pro" w:cs="Times New Roman"/>
        </w:rPr>
      </w:pPr>
    </w:p>
    <w:p w14:paraId="0817AD26" w14:textId="77777777" w:rsidR="00CF26EA" w:rsidRDefault="00CF26EA" w:rsidP="004346A9">
      <w:pPr>
        <w:rPr>
          <w:rFonts w:ascii="Source Sans Pro" w:hAnsi="Source Sans Pro" w:cs="Times New Roman"/>
        </w:rPr>
      </w:pPr>
    </w:p>
    <w:p w14:paraId="131FD853" w14:textId="77777777" w:rsidR="00CF26EA" w:rsidRDefault="00CF26EA" w:rsidP="004346A9">
      <w:pPr>
        <w:rPr>
          <w:rFonts w:ascii="Source Sans Pro" w:hAnsi="Source Sans Pro" w:cs="Times New Roman"/>
        </w:rPr>
      </w:pPr>
    </w:p>
    <w:p w14:paraId="5FD28FFD" w14:textId="77777777" w:rsidR="00CF26EA" w:rsidRDefault="00CF26EA" w:rsidP="004346A9">
      <w:pPr>
        <w:rPr>
          <w:rFonts w:ascii="Source Sans Pro" w:hAnsi="Source Sans Pro" w:cs="Times New Roman"/>
        </w:rPr>
      </w:pPr>
    </w:p>
    <w:p w14:paraId="6612D9B0" w14:textId="77777777" w:rsidR="00CF26EA" w:rsidRPr="004346A9" w:rsidRDefault="00CF26EA" w:rsidP="004346A9">
      <w:pPr>
        <w:rPr>
          <w:rFonts w:ascii="Source Sans Pro" w:hAnsi="Source Sans Pro" w:cs="Times New Roman"/>
        </w:rPr>
      </w:pPr>
    </w:p>
    <w:p w14:paraId="336EB9B6" w14:textId="42348B5F" w:rsidR="00AB1EEE" w:rsidRPr="004346A9" w:rsidRDefault="004346A9" w:rsidP="004346A9">
      <w:pPr>
        <w:rPr>
          <w:rFonts w:ascii="Source Sans Pro" w:hAnsi="Source Sans Pro" w:cs="Times New Roman"/>
        </w:rPr>
      </w:pPr>
      <w:r w:rsidRPr="004346A9">
        <w:rPr>
          <w:rFonts w:ascii="Source Sans Pro" w:hAnsi="Source Sans Pro"/>
          <w:noProof/>
        </w:rPr>
        <w:drawing>
          <wp:anchor distT="0" distB="0" distL="114300" distR="114300" simplePos="0" relativeHeight="251666432" behindDoc="0" locked="0" layoutInCell="1" hidden="0" allowOverlap="1" wp14:anchorId="34FADA2F" wp14:editId="1EA89F3B">
            <wp:simplePos x="0" y="0"/>
            <wp:positionH relativeFrom="column">
              <wp:posOffset>59289</wp:posOffset>
            </wp:positionH>
            <wp:positionV relativeFrom="paragraph">
              <wp:posOffset>47625</wp:posOffset>
            </wp:positionV>
            <wp:extent cx="539750" cy="417195"/>
            <wp:effectExtent l="0" t="0" r="6350" b="1905"/>
            <wp:wrapSquare wrapText="bothSides" distT="0" distB="0" distL="114300" distR="114300"/>
            <wp:docPr id="1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7"/>
                    <a:srcRect/>
                    <a:stretch>
                      <a:fillRect/>
                    </a:stretch>
                  </pic:blipFill>
                  <pic:spPr>
                    <a:xfrm>
                      <a:off x="0" y="0"/>
                      <a:ext cx="539750" cy="417195"/>
                    </a:xfrm>
                    <a:prstGeom prst="rect">
                      <a:avLst/>
                    </a:prstGeom>
                    <a:ln/>
                  </pic:spPr>
                </pic:pic>
              </a:graphicData>
            </a:graphic>
          </wp:anchor>
        </w:drawing>
      </w:r>
    </w:p>
    <w:p w14:paraId="39D742E6" w14:textId="77777777" w:rsidR="00AB1EEE" w:rsidRPr="004346A9" w:rsidRDefault="00AB1EEE" w:rsidP="00AB1EEE">
      <w:pPr>
        <w:numPr>
          <w:ilvl w:val="3"/>
          <w:numId w:val="9"/>
        </w:numPr>
        <w:ind w:left="1710"/>
        <w:rPr>
          <w:rFonts w:ascii="Source Sans Pro" w:hAnsi="Source Sans Pro" w:cs="Times New Roman"/>
        </w:rPr>
      </w:pPr>
      <w:r w:rsidRPr="004346A9">
        <w:rPr>
          <w:rFonts w:ascii="Source Sans Pro" w:hAnsi="Source Sans Pro" w:cs="Times New Roman"/>
          <w:b/>
        </w:rPr>
        <w:t>What is the minimum share of socially sustainable investments?</w:t>
      </w:r>
    </w:p>
    <w:p w14:paraId="122E4BD9" w14:textId="77777777" w:rsidR="00AB1EEE" w:rsidRPr="004346A9" w:rsidRDefault="00000000" w:rsidP="00AB1EEE">
      <w:pPr>
        <w:ind w:left="567"/>
        <w:rPr>
          <w:rFonts w:ascii="Source Sans Pro" w:hAnsi="Source Sans Pro" w:cs="Times New Roman"/>
        </w:rPr>
      </w:pPr>
      <w:sdt>
        <w:sdtPr>
          <w:rPr>
            <w:rFonts w:ascii="Source Sans Pro" w:hAnsi="Source Sans Pro"/>
          </w:rPr>
          <w:tag w:val="goog_rdk_12"/>
          <w:id w:val="784088558"/>
        </w:sdtPr>
        <w:sdtContent/>
      </w:sdt>
    </w:p>
    <w:p w14:paraId="15207297" w14:textId="77777777" w:rsidR="00AB1EEE" w:rsidRPr="004346A9" w:rsidRDefault="00AB1EEE" w:rsidP="00571B17">
      <w:pPr>
        <w:ind w:firstLine="567"/>
        <w:rPr>
          <w:rFonts w:ascii="Source Sans Pro" w:hAnsi="Source Sans Pro" w:cs="Times New Roman"/>
          <w:lang w:val="en-US"/>
        </w:rPr>
      </w:pPr>
      <w:r w:rsidRPr="004346A9">
        <w:rPr>
          <w:rFonts w:ascii="Source Sans Pro" w:hAnsi="Source Sans Pro" w:cs="Times New Roman"/>
          <w:lang w:val="en-US"/>
        </w:rPr>
        <w:t xml:space="preserve">None, as the product does not and will not commit to make any sustainable investments. </w:t>
      </w:r>
    </w:p>
    <w:p w14:paraId="18D8CB85" w14:textId="77777777" w:rsidR="00AB1EEE" w:rsidRPr="004346A9" w:rsidRDefault="00AB1EEE" w:rsidP="00AB1EEE">
      <w:pPr>
        <w:rPr>
          <w:rFonts w:ascii="Source Sans Pro" w:hAnsi="Source Sans Pro" w:cs="Times New Roman"/>
        </w:rPr>
      </w:pPr>
    </w:p>
    <w:p w14:paraId="50047DCA" w14:textId="77777777" w:rsidR="00AB1EEE" w:rsidRPr="004346A9" w:rsidRDefault="00AB1EEE" w:rsidP="00AB1EEE">
      <w:pPr>
        <w:rPr>
          <w:rFonts w:ascii="Source Sans Pro" w:hAnsi="Source Sans Pro" w:cs="Times New Roman"/>
        </w:rPr>
      </w:pPr>
      <w:r w:rsidRPr="004346A9">
        <w:rPr>
          <w:rFonts w:ascii="Source Sans Pro" w:hAnsi="Source Sans Pro"/>
          <w:noProof/>
        </w:rPr>
        <w:drawing>
          <wp:anchor distT="0" distB="0" distL="114300" distR="114300" simplePos="0" relativeHeight="251667456" behindDoc="0" locked="0" layoutInCell="1" hidden="0" allowOverlap="1" wp14:anchorId="53C7A79B" wp14:editId="77D0FE60">
            <wp:simplePos x="0" y="0"/>
            <wp:positionH relativeFrom="column">
              <wp:posOffset>-11029</wp:posOffset>
            </wp:positionH>
            <wp:positionV relativeFrom="paragraph">
              <wp:posOffset>57150</wp:posOffset>
            </wp:positionV>
            <wp:extent cx="625475" cy="524510"/>
            <wp:effectExtent l="0" t="0" r="0" b="0"/>
            <wp:wrapSquare wrapText="bothSides" distT="0" distB="0" distL="114300" distR="114300"/>
            <wp:docPr id="16" name="image8.png" descr="Une image contenant texte, roue, vitess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8.png" descr="Une image contenant texte, roue, vitesse&#10;&#10;Description générée automatiquement"/>
                    <pic:cNvPicPr preferRelativeResize="0"/>
                  </pic:nvPicPr>
                  <pic:blipFill>
                    <a:blip r:embed="rId28"/>
                    <a:srcRect/>
                    <a:stretch>
                      <a:fillRect/>
                    </a:stretch>
                  </pic:blipFill>
                  <pic:spPr>
                    <a:xfrm>
                      <a:off x="0" y="0"/>
                      <a:ext cx="625475" cy="524510"/>
                    </a:xfrm>
                    <a:prstGeom prst="rect">
                      <a:avLst/>
                    </a:prstGeom>
                    <a:ln/>
                  </pic:spPr>
                </pic:pic>
              </a:graphicData>
            </a:graphic>
          </wp:anchor>
        </w:drawing>
      </w:r>
    </w:p>
    <w:p w14:paraId="575A8B5E" w14:textId="77777777" w:rsidR="00AB1EEE" w:rsidRPr="004346A9" w:rsidRDefault="00AB1EEE" w:rsidP="00AB1EEE">
      <w:pPr>
        <w:numPr>
          <w:ilvl w:val="3"/>
          <w:numId w:val="9"/>
        </w:numPr>
        <w:ind w:left="1710"/>
        <w:rPr>
          <w:rFonts w:ascii="Source Sans Pro" w:hAnsi="Source Sans Pro" w:cs="Times New Roman"/>
        </w:rPr>
      </w:pPr>
      <w:r w:rsidRPr="004346A9">
        <w:rPr>
          <w:rFonts w:ascii="Source Sans Pro" w:hAnsi="Source Sans Pro" w:cs="Times New Roman"/>
          <w:b/>
        </w:rPr>
        <w:t>What investments are included under “#2 Other”, what is their purpose and are there any minimum environmental or social safeguards?</w:t>
      </w:r>
    </w:p>
    <w:p w14:paraId="47A17EF2" w14:textId="77777777" w:rsidR="00AB1EEE" w:rsidRPr="004346A9" w:rsidRDefault="00AB1EEE" w:rsidP="00AB1EEE">
      <w:pPr>
        <w:ind w:left="567"/>
        <w:rPr>
          <w:rFonts w:ascii="Source Sans Pro" w:hAnsi="Source Sans Pro" w:cs="Times New Roman"/>
        </w:rPr>
      </w:pPr>
    </w:p>
    <w:p w14:paraId="60F0E32F" w14:textId="77777777" w:rsidR="00DD4D5E" w:rsidRPr="004346A9" w:rsidRDefault="00DD4D5E" w:rsidP="00571B17">
      <w:pPr>
        <w:spacing w:line="257" w:lineRule="auto"/>
        <w:ind w:left="708"/>
        <w:rPr>
          <w:rFonts w:ascii="Source Sans Pro" w:hAnsi="Source Sans Pro"/>
          <w:lang w:val="en-US"/>
        </w:rPr>
      </w:pPr>
      <w:r w:rsidRPr="004346A9">
        <w:rPr>
          <w:rFonts w:ascii="Source Sans Pro" w:eastAsia="Source Sans Pro" w:hAnsi="Source Sans Pro" w:cs="Source Sans Pro"/>
        </w:rPr>
        <w:t>The only investments included under ‘#2 Other’ are the placement of the available cash of the product. Elaia Partners privileges a prudent management of the Fund’s available cash that will be intended to be invested in various types of medium such as: short term negotiable securities (Negotiable European Commercial Paper), shares or units in money-market and short-term money-market AIFs and collective investment undertakings (in accordance with Regulation (EU) 2017/1131) selected by the Management Company on the basis of rating criteria which satisfy the desired risk profile. There are no minimal environmental or social safeguards for such placements.</w:t>
      </w:r>
    </w:p>
    <w:p w14:paraId="28BAE7D9" w14:textId="77777777" w:rsidR="00AB1EEE" w:rsidRPr="004346A9" w:rsidRDefault="00AB1EEE" w:rsidP="00AB1EEE">
      <w:pPr>
        <w:rPr>
          <w:rFonts w:ascii="Source Sans Pro" w:hAnsi="Source Sans Pro" w:cs="Times New Roman"/>
          <w:lang w:val="en-US"/>
        </w:rPr>
      </w:pPr>
    </w:p>
    <w:p w14:paraId="45E97BC7" w14:textId="77777777" w:rsidR="00DD4D5E" w:rsidRPr="004346A9" w:rsidRDefault="00DD4D5E" w:rsidP="00AB1EEE">
      <w:pPr>
        <w:rPr>
          <w:rFonts w:ascii="Source Sans Pro" w:hAnsi="Source Sans Pro" w:cs="Times New Roman"/>
          <w:lang w:val="en-US"/>
        </w:rPr>
      </w:pPr>
    </w:p>
    <w:p w14:paraId="255D2C4D" w14:textId="6AA59536" w:rsidR="00AB1EEE" w:rsidRPr="004346A9" w:rsidRDefault="00AB1EEE" w:rsidP="00AB1EEE">
      <w:pPr>
        <w:ind w:left="567"/>
        <w:rPr>
          <w:rFonts w:ascii="Source Sans Pro" w:hAnsi="Source Sans Pro" w:cs="Times New Roman"/>
        </w:rPr>
      </w:pPr>
    </w:p>
    <w:p w14:paraId="02794FDB" w14:textId="14F6DAC9" w:rsidR="00AB1EEE" w:rsidRPr="004346A9" w:rsidRDefault="004346A9" w:rsidP="004346A9">
      <w:pPr>
        <w:numPr>
          <w:ilvl w:val="3"/>
          <w:numId w:val="9"/>
        </w:numPr>
        <w:ind w:left="1843" w:hanging="425"/>
        <w:rPr>
          <w:rFonts w:ascii="Source Sans Pro" w:hAnsi="Source Sans Pro" w:cs="Times New Roman"/>
        </w:rPr>
      </w:pPr>
      <w:r w:rsidRPr="004346A9">
        <w:rPr>
          <w:rFonts w:ascii="Source Sans Pro" w:hAnsi="Source Sans Pro"/>
          <w:noProof/>
        </w:rPr>
        <w:drawing>
          <wp:anchor distT="0" distB="0" distL="114300" distR="114300" simplePos="0" relativeHeight="251668480" behindDoc="1" locked="0" layoutInCell="1" hidden="0" allowOverlap="1" wp14:anchorId="1B0D3124" wp14:editId="2D042710">
            <wp:simplePos x="0" y="0"/>
            <wp:positionH relativeFrom="column">
              <wp:posOffset>-44450</wp:posOffset>
            </wp:positionH>
            <wp:positionV relativeFrom="paragraph">
              <wp:posOffset>27305</wp:posOffset>
            </wp:positionV>
            <wp:extent cx="916305" cy="466725"/>
            <wp:effectExtent l="0" t="0" r="0" b="3175"/>
            <wp:wrapNone/>
            <wp:docPr id="13" name="image4.png" descr="Une image contenant symbole, logo, blanc&#10;&#10;Description générée automatiquement"/>
            <wp:cNvGraphicFramePr/>
            <a:graphic xmlns:a="http://schemas.openxmlformats.org/drawingml/2006/main">
              <a:graphicData uri="http://schemas.openxmlformats.org/drawingml/2006/picture">
                <pic:pic xmlns:pic="http://schemas.openxmlformats.org/drawingml/2006/picture">
                  <pic:nvPicPr>
                    <pic:cNvPr id="13" name="image4.png" descr="Une image contenant symbole, logo, blanc&#10;&#10;Description générée automatiquement"/>
                    <pic:cNvPicPr preferRelativeResize="0"/>
                  </pic:nvPicPr>
                  <pic:blipFill>
                    <a:blip r:embed="rId29"/>
                    <a:srcRect/>
                    <a:stretch>
                      <a:fillRect/>
                    </a:stretch>
                  </pic:blipFill>
                  <pic:spPr>
                    <a:xfrm>
                      <a:off x="0" y="0"/>
                      <a:ext cx="916305" cy="466725"/>
                    </a:xfrm>
                    <a:prstGeom prst="rect">
                      <a:avLst/>
                    </a:prstGeom>
                    <a:ln/>
                  </pic:spPr>
                </pic:pic>
              </a:graphicData>
            </a:graphic>
          </wp:anchor>
        </w:drawing>
      </w:r>
      <w:r w:rsidR="00AB1EEE" w:rsidRPr="004346A9">
        <w:rPr>
          <w:rFonts w:ascii="Source Sans Pro" w:hAnsi="Source Sans Pro" w:cs="Times New Roman"/>
          <w:b/>
        </w:rPr>
        <w:t>Is a specific index designated as a reference benchmark to determine whether t</w:t>
      </w:r>
      <w:r w:rsidR="00B00EB2">
        <w:rPr>
          <w:rFonts w:ascii="Source Sans Pro" w:hAnsi="Source Sans Pro" w:cs="Times New Roman"/>
          <w:b/>
        </w:rPr>
        <w:t>his financial product</w:t>
      </w:r>
      <w:r w:rsidR="00AB1EEE" w:rsidRPr="004346A9">
        <w:rPr>
          <w:rFonts w:ascii="Source Sans Pro" w:hAnsi="Source Sans Pro" w:cs="Times New Roman"/>
          <w:b/>
        </w:rPr>
        <w:t xml:space="preserve"> is aligned with the environmental and/or social characteristics that it promotes?</w:t>
      </w:r>
    </w:p>
    <w:p w14:paraId="02F93BC9" w14:textId="77777777" w:rsidR="00AB1EEE" w:rsidRPr="004346A9" w:rsidRDefault="00AB1EEE" w:rsidP="00AB1EEE">
      <w:pPr>
        <w:ind w:left="567"/>
        <w:rPr>
          <w:rFonts w:ascii="Source Sans Pro" w:hAnsi="Source Sans Pro" w:cs="Times New Roman"/>
        </w:rPr>
      </w:pPr>
    </w:p>
    <w:p w14:paraId="1FEEDEAC" w14:textId="77777777" w:rsidR="00DD4D5E" w:rsidRPr="004346A9" w:rsidRDefault="00DD4D5E" w:rsidP="00571B17">
      <w:pPr>
        <w:ind w:firstLine="567"/>
        <w:rPr>
          <w:rFonts w:ascii="Source Sans Pro" w:hAnsi="Source Sans Pro"/>
        </w:rPr>
      </w:pPr>
      <w:r w:rsidRPr="004346A9">
        <w:rPr>
          <w:rFonts w:ascii="Source Sans Pro" w:hAnsi="Source Sans Pro"/>
        </w:rPr>
        <w:t>No specific index has been designated.</w:t>
      </w:r>
    </w:p>
    <w:p w14:paraId="2F57F679" w14:textId="77777777" w:rsidR="00AB1EEE" w:rsidRPr="004346A9" w:rsidRDefault="00AB1EEE" w:rsidP="00AB1EEE">
      <w:pPr>
        <w:rPr>
          <w:rFonts w:ascii="Source Sans Pro" w:hAnsi="Source Sans Pro" w:cs="Times New Roman"/>
          <w:u w:val="single"/>
        </w:rPr>
      </w:pPr>
      <w:r w:rsidRPr="004346A9">
        <w:rPr>
          <w:rFonts w:ascii="Source Sans Pro" w:hAnsi="Source Sans Pro" w:cs="Times New Roman"/>
        </w:rPr>
        <w:t xml:space="preserve"> </w:t>
      </w:r>
    </w:p>
    <w:p w14:paraId="5C975034" w14:textId="2E38DDD9" w:rsidR="00AB1EEE" w:rsidRPr="004346A9" w:rsidRDefault="00AB1EEE" w:rsidP="00CF26EA">
      <w:pPr>
        <w:numPr>
          <w:ilvl w:val="1"/>
          <w:numId w:val="6"/>
        </w:numPr>
        <w:spacing w:after="200"/>
        <w:ind w:left="1418" w:hanging="992"/>
        <w:rPr>
          <w:rFonts w:ascii="Source Sans Pro" w:hAnsi="Source Sans Pro" w:cs="Times New Roman"/>
        </w:rPr>
      </w:pPr>
      <w:r w:rsidRPr="004346A9">
        <w:rPr>
          <w:rFonts w:ascii="Source Sans Pro" w:hAnsi="Source Sans Pro" w:cs="Times New Roman"/>
          <w:i/>
        </w:rPr>
        <w:t>How is the reference benchmark continuously aligne</w:t>
      </w:r>
      <w:r w:rsidR="00B00EB2">
        <w:rPr>
          <w:rFonts w:ascii="Source Sans Pro" w:hAnsi="Source Sans Pro" w:cs="Times New Roman"/>
          <w:i/>
        </w:rPr>
        <w:t>d</w:t>
      </w:r>
      <w:r w:rsidRPr="004346A9">
        <w:rPr>
          <w:rFonts w:ascii="Source Sans Pro" w:hAnsi="Source Sans Pro" w:cs="Times New Roman"/>
          <w:i/>
        </w:rPr>
        <w:t xml:space="preserve"> with each of the environmental and/or social characteristics promoted by the financial product?</w:t>
      </w:r>
    </w:p>
    <w:p w14:paraId="33ECC956" w14:textId="4117DBA9" w:rsidR="00AB1EEE" w:rsidRPr="004346A9" w:rsidRDefault="00AB1EEE" w:rsidP="00571B17">
      <w:pPr>
        <w:spacing w:after="200"/>
        <w:ind w:firstLine="567"/>
        <w:rPr>
          <w:rFonts w:ascii="Source Sans Pro" w:hAnsi="Source Sans Pro" w:cs="Times New Roman"/>
        </w:rPr>
      </w:pPr>
      <w:r w:rsidRPr="004346A9">
        <w:rPr>
          <w:rFonts w:ascii="Source Sans Pro" w:hAnsi="Source Sans Pro" w:cs="Times New Roman"/>
        </w:rPr>
        <w:t>N</w:t>
      </w:r>
      <w:r w:rsidR="00DD4D5E" w:rsidRPr="004346A9">
        <w:rPr>
          <w:rFonts w:ascii="Source Sans Pro" w:hAnsi="Source Sans Pro" w:cs="Times New Roman"/>
        </w:rPr>
        <w:t>ot applicable.</w:t>
      </w:r>
    </w:p>
    <w:p w14:paraId="1DF4B80B" w14:textId="77777777" w:rsidR="00AB1EEE" w:rsidRPr="00CF26EA" w:rsidRDefault="00AB1EEE" w:rsidP="00CF26EA">
      <w:pPr>
        <w:numPr>
          <w:ilvl w:val="1"/>
          <w:numId w:val="6"/>
        </w:numPr>
        <w:spacing w:after="200"/>
        <w:ind w:left="1418" w:hanging="992"/>
        <w:rPr>
          <w:rFonts w:ascii="Source Sans Pro" w:hAnsi="Source Sans Pro" w:cs="Times New Roman"/>
          <w:i/>
        </w:rPr>
      </w:pPr>
      <w:r w:rsidRPr="004346A9">
        <w:rPr>
          <w:rFonts w:ascii="Source Sans Pro" w:hAnsi="Source Sans Pro" w:cs="Times New Roman"/>
          <w:i/>
        </w:rPr>
        <w:t>How is the alignment of the investment strategy with the methodology of the index ensured on a continuous basis?</w:t>
      </w:r>
    </w:p>
    <w:p w14:paraId="504542A1" w14:textId="4C092DBB" w:rsidR="00AB1EEE" w:rsidRPr="004346A9" w:rsidRDefault="00AB1EEE" w:rsidP="00571B17">
      <w:pPr>
        <w:spacing w:after="200"/>
        <w:ind w:firstLine="708"/>
        <w:rPr>
          <w:rFonts w:ascii="Source Sans Pro" w:hAnsi="Source Sans Pro" w:cs="Times New Roman"/>
        </w:rPr>
      </w:pPr>
      <w:r w:rsidRPr="004346A9">
        <w:rPr>
          <w:rFonts w:ascii="Source Sans Pro" w:hAnsi="Source Sans Pro" w:cs="Times New Roman"/>
        </w:rPr>
        <w:t>N</w:t>
      </w:r>
      <w:r w:rsidR="00DD4D5E" w:rsidRPr="004346A9">
        <w:rPr>
          <w:rFonts w:ascii="Source Sans Pro" w:hAnsi="Source Sans Pro" w:cs="Times New Roman"/>
        </w:rPr>
        <w:t>ot applicable.</w:t>
      </w:r>
    </w:p>
    <w:p w14:paraId="0C1A0304" w14:textId="77777777" w:rsidR="00AB1EEE" w:rsidRPr="00CF26EA" w:rsidRDefault="00AB1EEE" w:rsidP="00CF26EA">
      <w:pPr>
        <w:numPr>
          <w:ilvl w:val="1"/>
          <w:numId w:val="6"/>
        </w:numPr>
        <w:spacing w:after="200"/>
        <w:ind w:left="1418" w:hanging="992"/>
        <w:rPr>
          <w:rFonts w:ascii="Source Sans Pro" w:hAnsi="Source Sans Pro" w:cs="Times New Roman"/>
          <w:i/>
        </w:rPr>
      </w:pPr>
      <w:r w:rsidRPr="004346A9">
        <w:rPr>
          <w:rFonts w:ascii="Source Sans Pro" w:hAnsi="Source Sans Pro" w:cs="Times New Roman"/>
          <w:i/>
        </w:rPr>
        <w:t>How does the designated index differ from a relevant broad market index?</w:t>
      </w:r>
    </w:p>
    <w:p w14:paraId="5CF272D7" w14:textId="0BF8CDF9" w:rsidR="00AB1EEE" w:rsidRPr="004346A9" w:rsidRDefault="00AB1EEE" w:rsidP="00571B17">
      <w:pPr>
        <w:spacing w:after="200"/>
        <w:ind w:firstLine="480"/>
        <w:rPr>
          <w:rFonts w:ascii="Source Sans Pro" w:hAnsi="Source Sans Pro" w:cs="Times New Roman"/>
          <w:i/>
          <w:u w:val="single"/>
        </w:rPr>
      </w:pPr>
      <w:r w:rsidRPr="004346A9">
        <w:rPr>
          <w:rFonts w:ascii="Source Sans Pro" w:hAnsi="Source Sans Pro" w:cs="Times New Roman"/>
        </w:rPr>
        <w:t>N</w:t>
      </w:r>
      <w:r w:rsidR="00DD4D5E" w:rsidRPr="004346A9">
        <w:rPr>
          <w:rFonts w:ascii="Source Sans Pro" w:hAnsi="Source Sans Pro" w:cs="Times New Roman"/>
        </w:rPr>
        <w:t>ot applicable.</w:t>
      </w:r>
    </w:p>
    <w:p w14:paraId="5C2C7965" w14:textId="77777777" w:rsidR="00AB1EEE" w:rsidRPr="00CF26EA" w:rsidRDefault="00AB1EEE" w:rsidP="00CF26EA">
      <w:pPr>
        <w:numPr>
          <w:ilvl w:val="1"/>
          <w:numId w:val="6"/>
        </w:numPr>
        <w:spacing w:after="200"/>
        <w:ind w:left="1418" w:hanging="992"/>
        <w:rPr>
          <w:rFonts w:ascii="Source Sans Pro" w:hAnsi="Source Sans Pro" w:cs="Times New Roman"/>
          <w:i/>
        </w:rPr>
      </w:pPr>
      <w:r w:rsidRPr="004346A9">
        <w:rPr>
          <w:rFonts w:ascii="Source Sans Pro" w:hAnsi="Source Sans Pro" w:cs="Times New Roman"/>
          <w:i/>
        </w:rPr>
        <w:lastRenderedPageBreak/>
        <w:t>Where can the methodology used for the calculation of the designated index be found?</w:t>
      </w:r>
    </w:p>
    <w:p w14:paraId="313A08FC" w14:textId="57F63BF2" w:rsidR="00AB1EEE" w:rsidRPr="004346A9" w:rsidRDefault="00AB1EEE" w:rsidP="00571B17">
      <w:pPr>
        <w:ind w:firstLine="480"/>
        <w:rPr>
          <w:rFonts w:ascii="Source Sans Pro" w:hAnsi="Source Sans Pro" w:cs="Times New Roman"/>
        </w:rPr>
      </w:pPr>
      <w:r w:rsidRPr="004346A9">
        <w:rPr>
          <w:rFonts w:ascii="Source Sans Pro" w:hAnsi="Source Sans Pro" w:cs="Times New Roman"/>
        </w:rPr>
        <w:t>N</w:t>
      </w:r>
      <w:r w:rsidR="00DD4D5E" w:rsidRPr="004346A9">
        <w:rPr>
          <w:rFonts w:ascii="Source Sans Pro" w:hAnsi="Source Sans Pro" w:cs="Times New Roman"/>
        </w:rPr>
        <w:t>ot applicable.</w:t>
      </w:r>
    </w:p>
    <w:p w14:paraId="1A77779A" w14:textId="77777777" w:rsidR="00AB1EEE" w:rsidRPr="004346A9" w:rsidRDefault="00AB1EEE" w:rsidP="00AB1EEE">
      <w:pPr>
        <w:rPr>
          <w:rFonts w:ascii="Source Sans Pro" w:hAnsi="Source Sans Pro" w:cs="Times New Roman"/>
        </w:rPr>
      </w:pPr>
    </w:p>
    <w:p w14:paraId="7434106E" w14:textId="77777777" w:rsidR="00AB1EEE" w:rsidRPr="004346A9" w:rsidRDefault="00AB1EEE" w:rsidP="00AB1EEE">
      <w:pPr>
        <w:rPr>
          <w:rFonts w:ascii="Source Sans Pro" w:hAnsi="Source Sans Pro" w:cs="Times New Roman"/>
        </w:rPr>
      </w:pPr>
      <w:r w:rsidRPr="004346A9">
        <w:rPr>
          <w:rFonts w:ascii="Source Sans Pro" w:hAnsi="Source Sans Pro"/>
          <w:noProof/>
        </w:rPr>
        <w:drawing>
          <wp:anchor distT="0" distB="0" distL="114300" distR="114300" simplePos="0" relativeHeight="251669504" behindDoc="1" locked="0" layoutInCell="1" hidden="0" allowOverlap="1" wp14:anchorId="2B5158CD" wp14:editId="746EB653">
            <wp:simplePos x="0" y="0"/>
            <wp:positionH relativeFrom="column">
              <wp:posOffset>-44613</wp:posOffset>
            </wp:positionH>
            <wp:positionV relativeFrom="paragraph">
              <wp:posOffset>95250</wp:posOffset>
            </wp:positionV>
            <wp:extent cx="980872" cy="523875"/>
            <wp:effectExtent l="0" t="0" r="0" b="0"/>
            <wp:wrapNone/>
            <wp:docPr id="6" name="image6.png" descr="Une image contenant symbole&#10;&#10;Description générée automatiquement"/>
            <wp:cNvGraphicFramePr/>
            <a:graphic xmlns:a="http://schemas.openxmlformats.org/drawingml/2006/main">
              <a:graphicData uri="http://schemas.openxmlformats.org/drawingml/2006/picture">
                <pic:pic xmlns:pic="http://schemas.openxmlformats.org/drawingml/2006/picture">
                  <pic:nvPicPr>
                    <pic:cNvPr id="6" name="image6.png" descr="Une image contenant symbole&#10;&#10;Description générée automatiquement"/>
                    <pic:cNvPicPr preferRelativeResize="0"/>
                  </pic:nvPicPr>
                  <pic:blipFill>
                    <a:blip r:embed="rId30"/>
                    <a:srcRect/>
                    <a:stretch>
                      <a:fillRect/>
                    </a:stretch>
                  </pic:blipFill>
                  <pic:spPr>
                    <a:xfrm>
                      <a:off x="0" y="0"/>
                      <a:ext cx="980872" cy="523875"/>
                    </a:xfrm>
                    <a:prstGeom prst="rect">
                      <a:avLst/>
                    </a:prstGeom>
                    <a:ln/>
                  </pic:spPr>
                </pic:pic>
              </a:graphicData>
            </a:graphic>
          </wp:anchor>
        </w:drawing>
      </w:r>
    </w:p>
    <w:p w14:paraId="0C6742BA" w14:textId="77777777" w:rsidR="00AB1EEE" w:rsidRPr="004346A9" w:rsidRDefault="00AB1EEE" w:rsidP="00AB1EEE">
      <w:pPr>
        <w:ind w:left="567"/>
        <w:rPr>
          <w:rFonts w:ascii="Source Sans Pro" w:hAnsi="Source Sans Pro" w:cs="Times New Roman"/>
        </w:rPr>
      </w:pPr>
    </w:p>
    <w:p w14:paraId="7077894C" w14:textId="77777777" w:rsidR="00AB1EEE" w:rsidRPr="004346A9" w:rsidRDefault="00AB1EEE" w:rsidP="004346A9">
      <w:pPr>
        <w:numPr>
          <w:ilvl w:val="3"/>
          <w:numId w:val="7"/>
        </w:numPr>
        <w:ind w:left="1985" w:hanging="425"/>
        <w:rPr>
          <w:rFonts w:ascii="Source Sans Pro" w:hAnsi="Source Sans Pro" w:cs="Times New Roman"/>
        </w:rPr>
      </w:pPr>
      <w:r w:rsidRPr="004346A9">
        <w:rPr>
          <w:rFonts w:ascii="Source Sans Pro" w:hAnsi="Source Sans Pro" w:cs="Times New Roman"/>
          <w:b/>
        </w:rPr>
        <w:t>Where can I find more product specific information online?</w:t>
      </w:r>
    </w:p>
    <w:p w14:paraId="34DB1D80" w14:textId="77777777" w:rsidR="00AB1EEE" w:rsidRPr="004346A9" w:rsidRDefault="00AB1EEE" w:rsidP="00AB1EEE">
      <w:pPr>
        <w:ind w:left="1980"/>
        <w:rPr>
          <w:rFonts w:ascii="Source Sans Pro" w:hAnsi="Source Sans Pro" w:cs="Times New Roman"/>
          <w:b/>
        </w:rPr>
      </w:pPr>
    </w:p>
    <w:p w14:paraId="0D83687E" w14:textId="6DFFE15F" w:rsidR="00795FF8" w:rsidRPr="006E00BD" w:rsidRDefault="00AB1EEE" w:rsidP="00571B17">
      <w:pPr>
        <w:ind w:left="708"/>
        <w:rPr>
          <w:rFonts w:ascii="Source Sans Pro" w:hAnsi="Source Sans Pro" w:cs="Times New Roman"/>
          <w:b/>
        </w:rPr>
      </w:pPr>
      <w:r w:rsidRPr="004346A9">
        <w:rPr>
          <w:rFonts w:ascii="Source Sans Pro" w:hAnsi="Source Sans Pro" w:cs="Times New Roman"/>
        </w:rPr>
        <w:t xml:space="preserve">Unit holders may find more information related to the ESG criteria taken into account by the Management Company on its website: </w:t>
      </w:r>
      <w:hyperlink r:id="rId31" w:history="1">
        <w:r w:rsidRPr="004346A9">
          <w:rPr>
            <w:rStyle w:val="Lienhypertexte"/>
            <w:rFonts w:ascii="Source Sans Pro" w:hAnsi="Source Sans Pro"/>
          </w:rPr>
          <w:t>http://www.elaia.com</w:t>
        </w:r>
      </w:hyperlink>
      <w:r w:rsidRPr="004346A9">
        <w:rPr>
          <w:rFonts w:ascii="Source Sans Pro" w:hAnsi="Source Sans Pro" w:cs="Times New Roman"/>
        </w:rPr>
        <w:t>.</w:t>
      </w:r>
    </w:p>
    <w:sectPr w:rsidR="00795FF8" w:rsidRPr="006E00BD" w:rsidSect="007C24DF">
      <w:pgSz w:w="11906" w:h="16838"/>
      <w:pgMar w:top="681" w:right="1418" w:bottom="1418" w:left="1418" w:header="426" w:footer="720" w:gutter="0"/>
      <w:pgNumType w:start="1"/>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A5A4B" w14:textId="77777777" w:rsidR="00EB6484" w:rsidRDefault="00EB6484" w:rsidP="00AB1EEE">
      <w:r>
        <w:separator/>
      </w:r>
    </w:p>
  </w:endnote>
  <w:endnote w:type="continuationSeparator" w:id="0">
    <w:p w14:paraId="1FA52F32" w14:textId="77777777" w:rsidR="00EB6484" w:rsidRDefault="00EB6484" w:rsidP="00AB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ource Sans Pro">
    <w:altName w:val="Source Sans Pro"/>
    <w:panose1 w:val="020B0503030403020204"/>
    <w:charset w:val="4D"/>
    <w:family w:val="swiss"/>
    <w:notTrueType/>
    <w:pitch w:val="variable"/>
    <w:sig w:usb0="20000007" w:usb1="00000001" w:usb2="00000000" w:usb3="00000000" w:csb0="00000193"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viar Dreams">
    <w:panose1 w:val="020B0604020202020204"/>
    <w:charset w:val="00"/>
    <w:family w:val="swiss"/>
    <w:pitch w:val="variable"/>
    <w:sig w:usb0="A00002AF" w:usb1="500000E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2970B" w14:textId="77777777" w:rsidR="00EB6484" w:rsidRDefault="00EB6484" w:rsidP="00AB1EEE">
      <w:r>
        <w:separator/>
      </w:r>
    </w:p>
  </w:footnote>
  <w:footnote w:type="continuationSeparator" w:id="0">
    <w:p w14:paraId="5A174FFB" w14:textId="77777777" w:rsidR="00EB6484" w:rsidRDefault="00EB6484" w:rsidP="00AB1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1D0"/>
    <w:multiLevelType w:val="hybridMultilevel"/>
    <w:tmpl w:val="A5C2A1A4"/>
    <w:lvl w:ilvl="0" w:tplc="200CF4A2">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B2C8F"/>
    <w:multiLevelType w:val="hybridMultilevel"/>
    <w:tmpl w:val="C1E27882"/>
    <w:lvl w:ilvl="0" w:tplc="FFFFFFFF">
      <w:start w:val="1"/>
      <w:numFmt w:val="bullet"/>
      <w:lvlText w:val="-"/>
      <w:lvlJc w:val="left"/>
      <w:pPr>
        <w:ind w:left="720" w:hanging="360"/>
      </w:pPr>
      <w:rPr>
        <w:rFonts w:ascii="Source Sans Pro" w:hAnsi="Source Sans Pr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E8444A"/>
    <w:multiLevelType w:val="multilevel"/>
    <w:tmpl w:val="28C8CDC8"/>
    <w:lvl w:ilvl="0">
      <w:start w:val="10"/>
      <w:numFmt w:val="decimal"/>
      <w:lvlText w:val="%1."/>
      <w:lvlJc w:val="left"/>
      <w:pPr>
        <w:ind w:left="480" w:hanging="480"/>
      </w:pPr>
    </w:lvl>
    <w:lvl w:ilvl="1">
      <w:start w:val="1"/>
      <w:numFmt w:val="decimal"/>
      <w:lvlText w:val="%1.%2."/>
      <w:lvlJc w:val="left"/>
      <w:pPr>
        <w:ind w:left="906" w:hanging="480"/>
      </w:pPr>
      <w:rPr>
        <w: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6E44C9B"/>
    <w:multiLevelType w:val="multilevel"/>
    <w:tmpl w:val="2F483AE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decimal"/>
      <w:lvlText w:val="%3."/>
      <w:lvlJc w:val="left"/>
      <w:pPr>
        <w:ind w:left="2340" w:hanging="360"/>
      </w:pPr>
    </w:lvl>
    <w:lvl w:ilvl="3">
      <w:start w:val="11"/>
      <w:numFmt w:val="decimal"/>
      <w:lvlText w:val="%4."/>
      <w:lvlJc w:val="left"/>
      <w:pPr>
        <w:ind w:left="19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BC5610"/>
    <w:multiLevelType w:val="multilevel"/>
    <w:tmpl w:val="EE9215E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BF56F3"/>
    <w:multiLevelType w:val="multilevel"/>
    <w:tmpl w:val="D02A6620"/>
    <w:lvl w:ilvl="0">
      <w:start w:val="1"/>
      <w:numFmt w:val="decimal"/>
      <w:lvlText w:val="%1."/>
      <w:lvlJc w:val="left"/>
      <w:pPr>
        <w:ind w:left="207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6" w15:restartNumberingAfterBreak="0">
    <w:nsid w:val="222E6B2C"/>
    <w:multiLevelType w:val="multilevel"/>
    <w:tmpl w:val="91AC00C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decimal"/>
      <w:lvlText w:val="%3."/>
      <w:lvlJc w:val="left"/>
      <w:pPr>
        <w:ind w:left="2340" w:hanging="360"/>
      </w:pPr>
    </w:lvl>
    <w:lvl w:ilvl="3">
      <w:start w:val="6"/>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352129"/>
    <w:multiLevelType w:val="multilevel"/>
    <w:tmpl w:val="B71E67C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decimal"/>
      <w:lvlText w:val="%3."/>
      <w:lvlJc w:val="left"/>
      <w:pPr>
        <w:ind w:left="2340" w:hanging="360"/>
      </w:pPr>
    </w:lvl>
    <w:lvl w:ilvl="3">
      <w:start w:val="5"/>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0931AD"/>
    <w:multiLevelType w:val="multilevel"/>
    <w:tmpl w:val="F5C2CAFA"/>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9" w15:restartNumberingAfterBreak="0">
    <w:nsid w:val="30C8351C"/>
    <w:multiLevelType w:val="multilevel"/>
    <w:tmpl w:val="73D2B75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 w15:restartNumberingAfterBreak="0">
    <w:nsid w:val="374465CE"/>
    <w:multiLevelType w:val="multilevel"/>
    <w:tmpl w:val="412E04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A142DA"/>
    <w:multiLevelType w:val="multilevel"/>
    <w:tmpl w:val="AD90052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decimal"/>
      <w:lvlText w:val="%3."/>
      <w:lvlJc w:val="left"/>
      <w:pPr>
        <w:ind w:left="2340" w:hanging="360"/>
      </w:pPr>
    </w:lvl>
    <w:lvl w:ilvl="3">
      <w:start w:val="4"/>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3C517A"/>
    <w:multiLevelType w:val="hybridMultilevel"/>
    <w:tmpl w:val="FFFFFFFF"/>
    <w:lvl w:ilvl="0" w:tplc="53682562">
      <w:start w:val="1"/>
      <w:numFmt w:val="bullet"/>
      <w:lvlText w:val=""/>
      <w:lvlJc w:val="left"/>
      <w:pPr>
        <w:ind w:left="720" w:hanging="360"/>
      </w:pPr>
      <w:rPr>
        <w:rFonts w:ascii="Symbol" w:hAnsi="Symbol" w:hint="default"/>
      </w:rPr>
    </w:lvl>
    <w:lvl w:ilvl="1" w:tplc="7BCCAC80">
      <w:start w:val="1"/>
      <w:numFmt w:val="bullet"/>
      <w:lvlText w:val="o"/>
      <w:lvlJc w:val="left"/>
      <w:pPr>
        <w:ind w:left="1440" w:hanging="360"/>
      </w:pPr>
      <w:rPr>
        <w:rFonts w:ascii="Courier New" w:hAnsi="Courier New" w:hint="default"/>
      </w:rPr>
    </w:lvl>
    <w:lvl w:ilvl="2" w:tplc="1B283F96">
      <w:start w:val="1"/>
      <w:numFmt w:val="bullet"/>
      <w:lvlText w:val=""/>
      <w:lvlJc w:val="left"/>
      <w:pPr>
        <w:ind w:left="2160" w:hanging="360"/>
      </w:pPr>
      <w:rPr>
        <w:rFonts w:ascii="Wingdings" w:hAnsi="Wingdings" w:hint="default"/>
      </w:rPr>
    </w:lvl>
    <w:lvl w:ilvl="3" w:tplc="E4763FA6">
      <w:start w:val="1"/>
      <w:numFmt w:val="bullet"/>
      <w:lvlText w:val=""/>
      <w:lvlJc w:val="left"/>
      <w:pPr>
        <w:ind w:left="2880" w:hanging="360"/>
      </w:pPr>
      <w:rPr>
        <w:rFonts w:ascii="Symbol" w:hAnsi="Symbol" w:hint="default"/>
      </w:rPr>
    </w:lvl>
    <w:lvl w:ilvl="4" w:tplc="2D9E89A0">
      <w:start w:val="1"/>
      <w:numFmt w:val="bullet"/>
      <w:lvlText w:val="o"/>
      <w:lvlJc w:val="left"/>
      <w:pPr>
        <w:ind w:left="3600" w:hanging="360"/>
      </w:pPr>
      <w:rPr>
        <w:rFonts w:ascii="Courier New" w:hAnsi="Courier New" w:hint="default"/>
      </w:rPr>
    </w:lvl>
    <w:lvl w:ilvl="5" w:tplc="1F822EB4">
      <w:start w:val="1"/>
      <w:numFmt w:val="bullet"/>
      <w:lvlText w:val=""/>
      <w:lvlJc w:val="left"/>
      <w:pPr>
        <w:ind w:left="4320" w:hanging="360"/>
      </w:pPr>
      <w:rPr>
        <w:rFonts w:ascii="Wingdings" w:hAnsi="Wingdings" w:hint="default"/>
      </w:rPr>
    </w:lvl>
    <w:lvl w:ilvl="6" w:tplc="09041886">
      <w:start w:val="1"/>
      <w:numFmt w:val="bullet"/>
      <w:lvlText w:val=""/>
      <w:lvlJc w:val="left"/>
      <w:pPr>
        <w:ind w:left="5040" w:hanging="360"/>
      </w:pPr>
      <w:rPr>
        <w:rFonts w:ascii="Symbol" w:hAnsi="Symbol" w:hint="default"/>
      </w:rPr>
    </w:lvl>
    <w:lvl w:ilvl="7" w:tplc="23388756">
      <w:start w:val="1"/>
      <w:numFmt w:val="bullet"/>
      <w:lvlText w:val="o"/>
      <w:lvlJc w:val="left"/>
      <w:pPr>
        <w:ind w:left="5760" w:hanging="360"/>
      </w:pPr>
      <w:rPr>
        <w:rFonts w:ascii="Courier New" w:hAnsi="Courier New" w:hint="default"/>
      </w:rPr>
    </w:lvl>
    <w:lvl w:ilvl="8" w:tplc="6318F87C">
      <w:start w:val="1"/>
      <w:numFmt w:val="bullet"/>
      <w:lvlText w:val=""/>
      <w:lvlJc w:val="left"/>
      <w:pPr>
        <w:ind w:left="6480" w:hanging="360"/>
      </w:pPr>
      <w:rPr>
        <w:rFonts w:ascii="Wingdings" w:hAnsi="Wingdings" w:hint="default"/>
      </w:rPr>
    </w:lvl>
  </w:abstractNum>
  <w:abstractNum w:abstractNumId="13" w15:restartNumberingAfterBreak="0">
    <w:nsid w:val="4C9D669D"/>
    <w:multiLevelType w:val="multilevel"/>
    <w:tmpl w:val="D4DA34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E0E2C2B"/>
    <w:multiLevelType w:val="multilevel"/>
    <w:tmpl w:val="4F04B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F8E413A"/>
    <w:multiLevelType w:val="hybridMultilevel"/>
    <w:tmpl w:val="09C05AEA"/>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65540B06"/>
    <w:multiLevelType w:val="multilevel"/>
    <w:tmpl w:val="289651A8"/>
    <w:lvl w:ilvl="0">
      <w:start w:val="1"/>
      <w:numFmt w:val="lowerRoman"/>
      <w:lvlText w:val="(%1)"/>
      <w:lvlJc w:val="left"/>
      <w:pPr>
        <w:ind w:left="1440" w:hanging="1440"/>
      </w:pPr>
      <w:rPr>
        <w:b w:val="0"/>
        <w:i w:val="0"/>
        <w:smallCaps w:val="0"/>
        <w:strike w:val="0"/>
        <w:sz w:val="20"/>
        <w:szCs w:val="20"/>
        <w:u w:val="none"/>
        <w:vertAlign w:val="baseline"/>
      </w:rPr>
    </w:lvl>
    <w:lvl w:ilvl="1">
      <w:start w:val="1"/>
      <w:numFmt w:val="lowerLetter"/>
      <w:lvlText w:val="(%2)"/>
      <w:lvlJc w:val="left"/>
      <w:pPr>
        <w:ind w:left="1984" w:hanging="992"/>
      </w:pPr>
      <w:rPr>
        <w:rFonts w:ascii="Arial" w:eastAsia="Arial" w:hAnsi="Arial" w:cs="Arial"/>
        <w:sz w:val="20"/>
        <w:szCs w:val="20"/>
        <w:u w:val="none"/>
      </w:rPr>
    </w:lvl>
    <w:lvl w:ilvl="2">
      <w:start w:val="1"/>
      <w:numFmt w:val="lowerRoman"/>
      <w:lvlText w:val="(%3)"/>
      <w:lvlJc w:val="left"/>
      <w:pPr>
        <w:ind w:left="2976" w:hanging="990"/>
      </w:pPr>
      <w:rPr>
        <w:rFonts w:ascii="Times New Roman" w:eastAsia="Times New Roman" w:hAnsi="Times New Roman" w:cs="Times New Roman"/>
        <w:sz w:val="22"/>
        <w:szCs w:val="22"/>
        <w:u w:val="none"/>
      </w:rPr>
    </w:lvl>
    <w:lvl w:ilvl="3">
      <w:start w:val="1"/>
      <w:numFmt w:val="decimal"/>
      <w:lvlText w:val="(%4)"/>
      <w:lvlJc w:val="left"/>
      <w:pPr>
        <w:ind w:left="3969" w:hanging="993"/>
      </w:pPr>
      <w:rPr>
        <w:rFonts w:ascii="Times New Roman" w:eastAsia="Times New Roman" w:hAnsi="Times New Roman" w:cs="Times New Roman"/>
        <w:sz w:val="22"/>
        <w:szCs w:val="22"/>
        <w:u w:val="none"/>
      </w:rPr>
    </w:lvl>
    <w:lvl w:ilvl="4">
      <w:start w:val="1"/>
      <w:numFmt w:val="bullet"/>
      <w:lvlText w:val="●"/>
      <w:lvlJc w:val="left"/>
      <w:pPr>
        <w:ind w:left="1984" w:hanging="992"/>
      </w:pPr>
      <w:rPr>
        <w:rFonts w:ascii="Noto Sans Symbols" w:eastAsia="Noto Sans Symbols" w:hAnsi="Noto Sans Symbols" w:cs="Noto Sans Symbols"/>
        <w:b w:val="0"/>
        <w:i w:val="0"/>
        <w:smallCaps w:val="0"/>
        <w:color w:val="000000"/>
        <w:sz w:val="22"/>
        <w:szCs w:val="22"/>
        <w:u w:val="none"/>
      </w:rPr>
    </w:lvl>
    <w:lvl w:ilvl="5">
      <w:start w:val="1"/>
      <w:numFmt w:val="bullet"/>
      <w:lvlText w:val="●"/>
      <w:lvlJc w:val="left"/>
      <w:pPr>
        <w:ind w:left="2976" w:hanging="990"/>
      </w:pPr>
      <w:rPr>
        <w:rFonts w:ascii="Noto Sans Symbols" w:eastAsia="Noto Sans Symbols" w:hAnsi="Noto Sans Symbols" w:cs="Noto Sans Symbols"/>
        <w:b w:val="0"/>
        <w:i w:val="0"/>
        <w:smallCaps w:val="0"/>
        <w:color w:val="000000"/>
        <w:sz w:val="22"/>
        <w:szCs w:val="22"/>
        <w:u w:val="none"/>
      </w:r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672D7165"/>
    <w:multiLevelType w:val="multilevel"/>
    <w:tmpl w:val="E670F0A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decimal"/>
      <w:lvlText w:val="%3."/>
      <w:lvlJc w:val="left"/>
      <w:pPr>
        <w:ind w:left="2340" w:hanging="360"/>
      </w:pPr>
    </w:lvl>
    <w:lvl w:ilvl="3">
      <w:start w:val="7"/>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DF4FA1"/>
    <w:multiLevelType w:val="multilevel"/>
    <w:tmpl w:val="43C2D96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25E4AD5"/>
    <w:multiLevelType w:val="hybridMultilevel"/>
    <w:tmpl w:val="5E2050F2"/>
    <w:lvl w:ilvl="0" w:tplc="A538FC2C">
      <w:start w:val="2"/>
      <w:numFmt w:val="bullet"/>
      <w:lvlText w:val="-"/>
      <w:lvlJc w:val="left"/>
      <w:pPr>
        <w:ind w:left="920" w:hanging="360"/>
      </w:pPr>
      <w:rPr>
        <w:rFonts w:ascii="Source Sans Pro" w:eastAsia="Times New Roman" w:hAnsi="Source Sans Pro" w:cs="Times New Roman"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B647898"/>
    <w:multiLevelType w:val="multilevel"/>
    <w:tmpl w:val="76A2829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57826236">
    <w:abstractNumId w:val="20"/>
  </w:num>
  <w:num w:numId="2" w16cid:durableId="1932736939">
    <w:abstractNumId w:val="13"/>
  </w:num>
  <w:num w:numId="3" w16cid:durableId="279185310">
    <w:abstractNumId w:val="8"/>
  </w:num>
  <w:num w:numId="4" w16cid:durableId="1551527599">
    <w:abstractNumId w:val="11"/>
  </w:num>
  <w:num w:numId="5" w16cid:durableId="184877233">
    <w:abstractNumId w:val="4"/>
  </w:num>
  <w:num w:numId="6" w16cid:durableId="1095978707">
    <w:abstractNumId w:val="2"/>
  </w:num>
  <w:num w:numId="7" w16cid:durableId="732313224">
    <w:abstractNumId w:val="3"/>
  </w:num>
  <w:num w:numId="8" w16cid:durableId="1296330459">
    <w:abstractNumId w:val="16"/>
  </w:num>
  <w:num w:numId="9" w16cid:durableId="277570003">
    <w:abstractNumId w:val="17"/>
  </w:num>
  <w:num w:numId="10" w16cid:durableId="707678863">
    <w:abstractNumId w:val="5"/>
  </w:num>
  <w:num w:numId="11" w16cid:durableId="2078358294">
    <w:abstractNumId w:val="18"/>
  </w:num>
  <w:num w:numId="12" w16cid:durableId="1841919340">
    <w:abstractNumId w:val="9"/>
  </w:num>
  <w:num w:numId="13" w16cid:durableId="2046712123">
    <w:abstractNumId w:val="6"/>
  </w:num>
  <w:num w:numId="14" w16cid:durableId="1731415188">
    <w:abstractNumId w:val="14"/>
  </w:num>
  <w:num w:numId="15" w16cid:durableId="333650912">
    <w:abstractNumId w:val="7"/>
  </w:num>
  <w:num w:numId="16" w16cid:durableId="346907461">
    <w:abstractNumId w:val="10"/>
  </w:num>
  <w:num w:numId="17" w16cid:durableId="1602689804">
    <w:abstractNumId w:val="1"/>
  </w:num>
  <w:num w:numId="18" w16cid:durableId="935552913">
    <w:abstractNumId w:val="19"/>
  </w:num>
  <w:num w:numId="19" w16cid:durableId="2142964635">
    <w:abstractNumId w:val="15"/>
  </w:num>
  <w:num w:numId="20" w16cid:durableId="1737388729">
    <w:abstractNumId w:val="12"/>
  </w:num>
  <w:num w:numId="21" w16cid:durableId="111942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EE"/>
    <w:rsid w:val="00011E81"/>
    <w:rsid w:val="0011751C"/>
    <w:rsid w:val="00136FD5"/>
    <w:rsid w:val="001766B7"/>
    <w:rsid w:val="002F23E8"/>
    <w:rsid w:val="003C09B7"/>
    <w:rsid w:val="004346A9"/>
    <w:rsid w:val="00457493"/>
    <w:rsid w:val="00552523"/>
    <w:rsid w:val="00571B17"/>
    <w:rsid w:val="00581B38"/>
    <w:rsid w:val="005C274C"/>
    <w:rsid w:val="00626AC5"/>
    <w:rsid w:val="006824D9"/>
    <w:rsid w:val="006B208F"/>
    <w:rsid w:val="006E00BD"/>
    <w:rsid w:val="00733044"/>
    <w:rsid w:val="00795FF8"/>
    <w:rsid w:val="00987F34"/>
    <w:rsid w:val="009F01BB"/>
    <w:rsid w:val="00A21C2F"/>
    <w:rsid w:val="00AB1EEE"/>
    <w:rsid w:val="00AD7FB8"/>
    <w:rsid w:val="00AE1916"/>
    <w:rsid w:val="00B00EB2"/>
    <w:rsid w:val="00B07AAD"/>
    <w:rsid w:val="00BA6742"/>
    <w:rsid w:val="00BD057B"/>
    <w:rsid w:val="00C070C0"/>
    <w:rsid w:val="00CF26EA"/>
    <w:rsid w:val="00D15428"/>
    <w:rsid w:val="00D21FBB"/>
    <w:rsid w:val="00D51E71"/>
    <w:rsid w:val="00D57478"/>
    <w:rsid w:val="00D57AE6"/>
    <w:rsid w:val="00DD4D5E"/>
    <w:rsid w:val="00EB6484"/>
    <w:rsid w:val="00F2460C"/>
    <w:rsid w:val="00FE33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3B176"/>
  <w15:chartTrackingRefBased/>
  <w15:docId w15:val="{C70B127D-F1A8-134E-A0C0-E5F39DFD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EE"/>
    <w:pPr>
      <w:jc w:val="both"/>
    </w:pPr>
    <w:rPr>
      <w:rFonts w:ascii="Times New Roman" w:eastAsia="Times New Roman" w:hAnsi="Times New Roman" w:cs="Arial"/>
      <w:kern w:val="0"/>
      <w:sz w:val="22"/>
      <w:szCs w:val="22"/>
      <w:lang w:val="en-GB" w:eastAsia="fr-FR"/>
      <w14:ligatures w14:val="none"/>
    </w:rPr>
  </w:style>
  <w:style w:type="paragraph" w:styleId="Titre1">
    <w:name w:val="heading 1"/>
    <w:basedOn w:val="Normal"/>
    <w:next w:val="Normal"/>
    <w:link w:val="Titre1Car"/>
    <w:uiPriority w:val="99"/>
    <w:qFormat/>
    <w:rsid w:val="00AB1EEE"/>
    <w:pPr>
      <w:keepNext/>
      <w:widowControl w:val="0"/>
      <w:jc w:val="center"/>
      <w:outlineLvl w:val="0"/>
    </w:pPr>
    <w:rPr>
      <w:rFonts w:cs="Book Antiqua"/>
      <w: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AB1EEE"/>
    <w:rPr>
      <w:rFonts w:ascii="Times New Roman" w:eastAsia="Times New Roman" w:hAnsi="Times New Roman" w:cs="Book Antiqua"/>
      <w:b/>
      <w:kern w:val="0"/>
      <w:sz w:val="22"/>
      <w:szCs w:val="20"/>
      <w:lang w:val="en-GB" w:eastAsia="fr-FR"/>
      <w14:ligatures w14:val="none"/>
    </w:rPr>
  </w:style>
  <w:style w:type="character" w:styleId="Lienhypertexte">
    <w:name w:val="Hyperlink"/>
    <w:basedOn w:val="Policepardfaut"/>
    <w:uiPriority w:val="99"/>
    <w:rsid w:val="00AB1EEE"/>
    <w:rPr>
      <w:rFonts w:cs="Times New Roman"/>
      <w:color w:val="0000FF"/>
      <w:u w:val="single"/>
    </w:rPr>
  </w:style>
  <w:style w:type="paragraph" w:styleId="Paragraphedeliste">
    <w:name w:val="List Paragraph"/>
    <w:aliases w:val="Paragraphe EI,Paragraphe de liste1,EC,Normal bullet 2,Bullet list,List Paragraph1,Numbered List,1st level - Bullet List Paragraph,Lettre d'introduction,Paragrafo elenco,Medium Grid 1 - Accent 21,List Paragraph11,Dot pt"/>
    <w:basedOn w:val="Normal"/>
    <w:link w:val="ParagraphedelisteCar"/>
    <w:uiPriority w:val="34"/>
    <w:qFormat/>
    <w:rsid w:val="00AB1EEE"/>
    <w:pPr>
      <w:ind w:left="720"/>
    </w:pPr>
  </w:style>
  <w:style w:type="paragraph" w:customStyle="1" w:styleId="Listemoyenne2-Accent41">
    <w:name w:val="Liste moyenne 2 - Accent 41"/>
    <w:basedOn w:val="Normal"/>
    <w:uiPriority w:val="34"/>
    <w:qFormat/>
    <w:rsid w:val="00552523"/>
    <w:pPr>
      <w:spacing w:after="200" w:line="276" w:lineRule="auto"/>
      <w:ind w:left="720"/>
      <w:contextualSpacing/>
      <w:jc w:val="left"/>
    </w:pPr>
    <w:rPr>
      <w:rFonts w:ascii="Calibri" w:eastAsia="MS Mincho" w:hAnsi="Calibri" w:cs="Times New Roman"/>
      <w:lang w:val="fr-FR"/>
    </w:rPr>
  </w:style>
  <w:style w:type="paragraph" w:styleId="En-tte">
    <w:name w:val="header"/>
    <w:basedOn w:val="Normal"/>
    <w:link w:val="En-tteCar"/>
    <w:uiPriority w:val="99"/>
    <w:unhideWhenUsed/>
    <w:rsid w:val="00011E81"/>
    <w:pPr>
      <w:tabs>
        <w:tab w:val="center" w:pos="4536"/>
        <w:tab w:val="right" w:pos="9072"/>
      </w:tabs>
    </w:pPr>
  </w:style>
  <w:style w:type="character" w:customStyle="1" w:styleId="En-tteCar">
    <w:name w:val="En-tête Car"/>
    <w:basedOn w:val="Policepardfaut"/>
    <w:link w:val="En-tte"/>
    <w:uiPriority w:val="99"/>
    <w:rsid w:val="00011E81"/>
    <w:rPr>
      <w:rFonts w:ascii="Times New Roman" w:eastAsia="Times New Roman" w:hAnsi="Times New Roman" w:cs="Arial"/>
      <w:kern w:val="0"/>
      <w:sz w:val="22"/>
      <w:szCs w:val="22"/>
      <w:lang w:val="en-GB" w:eastAsia="fr-FR"/>
      <w14:ligatures w14:val="none"/>
    </w:rPr>
  </w:style>
  <w:style w:type="paragraph" w:styleId="Pieddepage">
    <w:name w:val="footer"/>
    <w:basedOn w:val="Normal"/>
    <w:link w:val="PieddepageCar"/>
    <w:uiPriority w:val="99"/>
    <w:unhideWhenUsed/>
    <w:rsid w:val="00011E81"/>
    <w:pPr>
      <w:tabs>
        <w:tab w:val="center" w:pos="4536"/>
        <w:tab w:val="right" w:pos="9072"/>
      </w:tabs>
    </w:pPr>
  </w:style>
  <w:style w:type="character" w:customStyle="1" w:styleId="PieddepageCar">
    <w:name w:val="Pied de page Car"/>
    <w:basedOn w:val="Policepardfaut"/>
    <w:link w:val="Pieddepage"/>
    <w:uiPriority w:val="99"/>
    <w:rsid w:val="00011E81"/>
    <w:rPr>
      <w:rFonts w:ascii="Times New Roman" w:eastAsia="Times New Roman" w:hAnsi="Times New Roman" w:cs="Arial"/>
      <w:kern w:val="0"/>
      <w:sz w:val="22"/>
      <w:szCs w:val="22"/>
      <w:lang w:val="en-GB" w:eastAsia="fr-FR"/>
      <w14:ligatures w14:val="none"/>
    </w:rPr>
  </w:style>
  <w:style w:type="paragraph" w:styleId="NormalWeb">
    <w:name w:val="Normal (Web)"/>
    <w:basedOn w:val="Normal"/>
    <w:uiPriority w:val="99"/>
    <w:unhideWhenUsed/>
    <w:rsid w:val="00BA6742"/>
    <w:pPr>
      <w:spacing w:before="100" w:beforeAutospacing="1" w:after="100" w:afterAutospacing="1"/>
      <w:jc w:val="left"/>
    </w:pPr>
    <w:rPr>
      <w:rFonts w:cs="Times New Roman"/>
      <w:sz w:val="24"/>
      <w:szCs w:val="24"/>
      <w:lang w:val="fr-FR"/>
    </w:rPr>
  </w:style>
  <w:style w:type="character" w:customStyle="1" w:styleId="ParagraphedelisteCar">
    <w:name w:val="Paragraphe de liste Car"/>
    <w:aliases w:val="Paragraphe EI Car,Paragraphe de liste1 Car,EC Car,Normal bullet 2 Car,Bullet list Car,List Paragraph1 Car,Numbered List Car,1st level - Bullet List Paragraph Car,Lettre d'introduction Car,Paragrafo elenco Car,List Paragraph11 Car"/>
    <w:basedOn w:val="Policepardfaut"/>
    <w:link w:val="Paragraphedeliste"/>
    <w:uiPriority w:val="34"/>
    <w:qFormat/>
    <w:locked/>
    <w:rsid w:val="00457493"/>
    <w:rPr>
      <w:rFonts w:ascii="Times New Roman" w:eastAsia="Times New Roman" w:hAnsi="Times New Roman" w:cs="Arial"/>
      <w:kern w:val="0"/>
      <w:sz w:val="22"/>
      <w:szCs w:val="22"/>
      <w:lang w:val="en-GB" w:eastAsia="fr-FR"/>
      <w14:ligatures w14:val="none"/>
    </w:rPr>
  </w:style>
  <w:style w:type="table" w:customStyle="1" w:styleId="PlainTable11">
    <w:name w:val="Plain Table 11"/>
    <w:basedOn w:val="TableauNormal"/>
    <w:next w:val="Tableausimple1"/>
    <w:uiPriority w:val="41"/>
    <w:rsid w:val="00457493"/>
    <w:rPr>
      <w:rFonts w:eastAsia="Times New Roman"/>
      <w:kern w:val="0"/>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simple1">
    <w:name w:val="Plain Table 1"/>
    <w:basedOn w:val="TableauNormal"/>
    <w:uiPriority w:val="41"/>
    <w:rsid w:val="0045749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microsoft.com/office/2007/relationships/diagramDrawing" Target="diagrams/drawing1.xml"/><Relationship Id="rId26" Type="http://schemas.openxmlformats.org/officeDocument/2006/relationships/image" Target="media/image110.svg"/><Relationship Id="rId3" Type="http://schemas.openxmlformats.org/officeDocument/2006/relationships/settings" Target="settings.xml"/><Relationship Id="rId21" Type="http://schemas.openxmlformats.org/officeDocument/2006/relationships/chart" Target="charts/chart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diagramColors" Target="diagrams/colors1.xml"/><Relationship Id="rId25" Type="http://schemas.openxmlformats.org/officeDocument/2006/relationships/image" Target="media/image10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chart" Target="charts/chart1.xml"/><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1.sv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image" Target="media/image10.png"/><Relationship Id="rId28" Type="http://schemas.openxmlformats.org/officeDocument/2006/relationships/image" Target="media/image13.png"/><Relationship Id="rId10" Type="http://schemas.openxmlformats.org/officeDocument/2006/relationships/image" Target="media/image4.png"/><Relationship Id="rId19" Type="http://schemas.openxmlformats.org/officeDocument/2006/relationships/image" Target="media/image8.png"/><Relationship Id="rId31" Type="http://schemas.openxmlformats.org/officeDocument/2006/relationships/hyperlink" Target="http://www.elaia.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diagramData" Target="diagrams/data1.xml"/><Relationship Id="rId22" Type="http://schemas.openxmlformats.org/officeDocument/2006/relationships/image" Target="media/image9.png"/><Relationship Id="rId27" Type="http://schemas.openxmlformats.org/officeDocument/2006/relationships/image" Target="media/image12.png"/><Relationship Id="rId30" Type="http://schemas.openxmlformats.org/officeDocument/2006/relationships/image" Target="media/image15.png"/><Relationship Id="rId8"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Feuille_de_calcul_Microsoft_Excel.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Feuille_de_calcul_Microsoft_Excel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t>1. Taxonomy-alignment</a:t>
            </a:r>
            <a:r>
              <a:rPr lang="en-US" sz="800" baseline="0"/>
              <a:t> of </a:t>
            </a:r>
            <a:r>
              <a:rPr lang="en-US" sz="800"/>
              <a:t>investments </a:t>
            </a:r>
            <a:r>
              <a:rPr lang="en-US" sz="800" b="1"/>
              <a:t>including sovereign</a:t>
            </a:r>
            <a:r>
              <a:rPr lang="en-US" sz="800" b="1" baseline="0"/>
              <a:t> bonds*</a:t>
            </a:r>
            <a:endParaRPr lang="en-US" sz="1100" b="1"/>
          </a:p>
        </c:rich>
      </c:tx>
      <c:layout>
        <c:manualLayout>
          <c:xMode val="edge"/>
          <c:yMode val="edge"/>
          <c:x val="0.10244952893674293"/>
          <c:y val="3.364171572750210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55494581133928411"/>
          <c:y val="0.35209443081909841"/>
          <c:w val="0.31252827806323763"/>
          <c:h val="0.40896232233265922"/>
        </c:manualLayout>
      </c:layout>
      <c:pieChart>
        <c:varyColors val="1"/>
        <c:ser>
          <c:idx val="0"/>
          <c:order val="0"/>
          <c:tx>
            <c:strRef>
              <c:f>Sheet1!$B$1</c:f>
              <c:strCache>
                <c:ptCount val="1"/>
                <c:pt idx="0">
                  <c:v>Taxonomy-aligned investments </c:v>
                </c:pt>
              </c:strCache>
            </c:strRef>
          </c:tx>
          <c:dPt>
            <c:idx val="0"/>
            <c:bubble3D val="0"/>
            <c:spPr>
              <a:solidFill>
                <a:srgbClr val="003300">
                  <a:alpha val="50000"/>
                </a:srgbClr>
              </a:solidFill>
              <a:ln w="19050">
                <a:noFill/>
              </a:ln>
              <a:effectLst/>
            </c:spPr>
            <c:extLst>
              <c:ext xmlns:c16="http://schemas.microsoft.com/office/drawing/2014/chart" uri="{C3380CC4-5D6E-409C-BE32-E72D297353CC}">
                <c16:uniqueId val="{00000001-3228-9D41-866C-77A1CAE4A00F}"/>
              </c:ext>
            </c:extLst>
          </c:dPt>
          <c:dPt>
            <c:idx val="1"/>
            <c:bubble3D val="0"/>
            <c:spPr>
              <a:solidFill>
                <a:srgbClr val="003300">
                  <a:alpha val="70000"/>
                </a:srgbClr>
              </a:solidFill>
              <a:ln w="19050">
                <a:noFill/>
              </a:ln>
              <a:effectLst/>
            </c:spPr>
            <c:extLst>
              <c:ext xmlns:c16="http://schemas.microsoft.com/office/drawing/2014/chart" uri="{C3380CC4-5D6E-409C-BE32-E72D297353CC}">
                <c16:uniqueId val="{00000003-3228-9D41-866C-77A1CAE4A00F}"/>
              </c:ext>
            </c:extLst>
          </c:dPt>
          <c:dPt>
            <c:idx val="2"/>
            <c:bubble3D val="0"/>
            <c:spPr>
              <a:solidFill>
                <a:srgbClr val="003300"/>
              </a:solidFill>
              <a:ln w="19050">
                <a:noFill/>
              </a:ln>
              <a:effectLst/>
            </c:spPr>
            <c:extLst>
              <c:ext xmlns:c16="http://schemas.microsoft.com/office/drawing/2014/chart" uri="{C3380CC4-5D6E-409C-BE32-E72D297353CC}">
                <c16:uniqueId val="{00000005-3228-9D41-866C-77A1CAE4A00F}"/>
              </c:ext>
            </c:extLst>
          </c:dPt>
          <c:dPt>
            <c:idx val="3"/>
            <c:bubble3D val="0"/>
            <c:spPr>
              <a:solidFill>
                <a:schemeClr val="bg1">
                  <a:lumMod val="85000"/>
                </a:schemeClr>
              </a:solidFill>
              <a:ln w="19050">
                <a:noFill/>
              </a:ln>
              <a:effectLst/>
            </c:spPr>
            <c:extLst>
              <c:ext xmlns:c16="http://schemas.microsoft.com/office/drawing/2014/chart" uri="{C3380CC4-5D6E-409C-BE32-E72D297353CC}">
                <c16:uniqueId val="{00000007-3228-9D41-866C-77A1CAE4A00F}"/>
              </c:ext>
            </c:extLst>
          </c:dPt>
          <c:dLbls>
            <c:dLbl>
              <c:idx val="0"/>
              <c:tx>
                <c:rich>
                  <a:bodyPr/>
                  <a:lstStyle/>
                  <a:p>
                    <a:r>
                      <a:rPr lang="en-US"/>
                      <a:t>0%</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3228-9D41-866C-77A1CAE4A00F}"/>
                </c:ext>
              </c:extLst>
            </c:dLbl>
            <c:dLbl>
              <c:idx val="1"/>
              <c:tx>
                <c:rich>
                  <a:bodyPr/>
                  <a:lstStyle/>
                  <a:p>
                    <a:r>
                      <a:rPr lang="en-US"/>
                      <a:t>0%</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3228-9D41-866C-77A1CAE4A00F}"/>
                </c:ext>
              </c:extLst>
            </c:dLbl>
            <c:dLbl>
              <c:idx val="2"/>
              <c:layout>
                <c:manualLayout>
                  <c:x val="-1.2454404363151711E-2"/>
                  <c:y val="2.7981871118569195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1"/>
              <c:showBubbleSize val="0"/>
              <c:extLst>
                <c:ext xmlns:c15="http://schemas.microsoft.com/office/drawing/2012/chart" uri="{CE6537A1-D6FC-4f65-9D91-7224C49458BB}">
                  <c15:layout>
                    <c:manualLayout>
                      <c:w val="0.10765612121424686"/>
                      <c:h val="0.12375256371642068"/>
                    </c:manualLayout>
                  </c15:layout>
                  <c15:showDataLabelsRange val="0"/>
                </c:ext>
                <c:ext xmlns:c16="http://schemas.microsoft.com/office/drawing/2014/chart" uri="{C3380CC4-5D6E-409C-BE32-E72D297353CC}">
                  <c16:uniqueId val="{00000005-3228-9D41-866C-77A1CAE4A00F}"/>
                </c:ext>
              </c:extLst>
            </c:dLbl>
            <c:dLbl>
              <c:idx val="3"/>
              <c:tx>
                <c:rich>
                  <a:bodyPr/>
                  <a:lstStyle/>
                  <a:p>
                    <a:r>
                      <a:rPr lang="en-US"/>
                      <a:t>0%</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3228-9D41-866C-77A1CAE4A0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Taxonomy-aligned: Fossil gas</c:v>
                </c:pt>
                <c:pt idx="1">
                  <c:v>Taxonomy-aligned: Nuclear</c:v>
                </c:pt>
                <c:pt idx="2">
                  <c:v>Taxonomy-aligned (no fossil gas &amp; nuclear)</c:v>
                </c:pt>
                <c:pt idx="3">
                  <c:v>Non Taxonomy-aligned </c:v>
                </c:pt>
              </c:strCache>
            </c:strRef>
          </c:cat>
          <c:val>
            <c:numRef>
              <c:f>Sheet1!$B$2:$B$5</c:f>
              <c:numCache>
                <c:formatCode>General</c:formatCode>
                <c:ptCount val="4"/>
                <c:pt idx="0">
                  <c:v>0.2</c:v>
                </c:pt>
                <c:pt idx="1">
                  <c:v>0.3</c:v>
                </c:pt>
                <c:pt idx="2">
                  <c:v>0.5</c:v>
                </c:pt>
                <c:pt idx="3">
                  <c:v>2</c:v>
                </c:pt>
              </c:numCache>
            </c:numRef>
          </c:val>
          <c:extLst>
            <c:ext xmlns:c16="http://schemas.microsoft.com/office/drawing/2014/chart" uri="{C3380CC4-5D6E-409C-BE32-E72D297353CC}">
              <c16:uniqueId val="{00000008-3228-9D41-866C-77A1CAE4A00F}"/>
            </c:ext>
          </c:extLst>
        </c:ser>
        <c:dLbls>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3.2301439769917402E-2"/>
          <c:y val="0.29558969063293322"/>
          <c:w val="0.48840599407256718"/>
          <c:h val="0.5568406408215366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t>2. Taxonomy-alignment</a:t>
            </a:r>
            <a:r>
              <a:rPr lang="en-US" sz="800" baseline="0"/>
              <a:t> of </a:t>
            </a:r>
            <a:r>
              <a:rPr lang="en-US" sz="800"/>
              <a:t>investments </a:t>
            </a:r>
            <a:r>
              <a:rPr lang="en-US" sz="800" b="1"/>
              <a:t>excluding sovereign</a:t>
            </a:r>
            <a:r>
              <a:rPr lang="en-US" sz="800" b="1" baseline="0"/>
              <a:t> bonds*</a:t>
            </a:r>
            <a:endParaRPr lang="en-US" sz="1100" b="1">
              <a:highlight>
                <a:srgbClr val="FFFF00"/>
              </a:highlight>
            </a:endParaRPr>
          </a:p>
        </c:rich>
      </c:tx>
      <c:layout>
        <c:manualLayout>
          <c:xMode val="edge"/>
          <c:yMode val="edge"/>
          <c:x val="0.10244952893674293"/>
          <c:y val="3.364171572750210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54615105817021858"/>
          <c:y val="0.28694978701432811"/>
          <c:w val="0.30726126259789532"/>
          <c:h val="0.48001496659006776"/>
        </c:manualLayout>
      </c:layout>
      <c:pieChart>
        <c:varyColors val="1"/>
        <c:ser>
          <c:idx val="0"/>
          <c:order val="0"/>
          <c:tx>
            <c:strRef>
              <c:f>Sheet1!$B$1</c:f>
              <c:strCache>
                <c:ptCount val="1"/>
                <c:pt idx="0">
                  <c:v>Taxonomy-aligned investments </c:v>
                </c:pt>
              </c:strCache>
            </c:strRef>
          </c:tx>
          <c:spPr>
            <a:ln>
              <a:noFill/>
            </a:ln>
          </c:spPr>
          <c:dPt>
            <c:idx val="0"/>
            <c:bubble3D val="0"/>
            <c:spPr>
              <a:solidFill>
                <a:srgbClr val="003300">
                  <a:alpha val="50000"/>
                </a:srgbClr>
              </a:solidFill>
              <a:ln w="19050">
                <a:noFill/>
              </a:ln>
              <a:effectLst/>
            </c:spPr>
            <c:extLst>
              <c:ext xmlns:c16="http://schemas.microsoft.com/office/drawing/2014/chart" uri="{C3380CC4-5D6E-409C-BE32-E72D297353CC}">
                <c16:uniqueId val="{00000001-13A5-DE46-938D-057B5BBA587E}"/>
              </c:ext>
            </c:extLst>
          </c:dPt>
          <c:dPt>
            <c:idx val="1"/>
            <c:bubble3D val="0"/>
            <c:spPr>
              <a:solidFill>
                <a:srgbClr val="003300">
                  <a:alpha val="70000"/>
                </a:srgbClr>
              </a:solidFill>
              <a:ln w="19050">
                <a:noFill/>
              </a:ln>
              <a:effectLst/>
            </c:spPr>
            <c:extLst>
              <c:ext xmlns:c16="http://schemas.microsoft.com/office/drawing/2014/chart" uri="{C3380CC4-5D6E-409C-BE32-E72D297353CC}">
                <c16:uniqueId val="{00000003-13A5-DE46-938D-057B5BBA587E}"/>
              </c:ext>
            </c:extLst>
          </c:dPt>
          <c:dPt>
            <c:idx val="2"/>
            <c:bubble3D val="0"/>
            <c:spPr>
              <a:solidFill>
                <a:srgbClr val="003300"/>
              </a:solidFill>
              <a:ln w="19050">
                <a:noFill/>
              </a:ln>
              <a:effectLst/>
            </c:spPr>
            <c:extLst>
              <c:ext xmlns:c16="http://schemas.microsoft.com/office/drawing/2014/chart" uri="{C3380CC4-5D6E-409C-BE32-E72D297353CC}">
                <c16:uniqueId val="{00000005-13A5-DE46-938D-057B5BBA587E}"/>
              </c:ext>
            </c:extLst>
          </c:dPt>
          <c:dPt>
            <c:idx val="3"/>
            <c:bubble3D val="0"/>
            <c:spPr>
              <a:solidFill>
                <a:schemeClr val="bg1">
                  <a:lumMod val="85000"/>
                </a:schemeClr>
              </a:solidFill>
              <a:ln w="19050">
                <a:noFill/>
              </a:ln>
              <a:effectLst/>
            </c:spPr>
            <c:extLst>
              <c:ext xmlns:c16="http://schemas.microsoft.com/office/drawing/2014/chart" uri="{C3380CC4-5D6E-409C-BE32-E72D297353CC}">
                <c16:uniqueId val="{00000007-13A5-DE46-938D-057B5BBA587E}"/>
              </c:ext>
            </c:extLst>
          </c:dPt>
          <c:dLbls>
            <c:dLbl>
              <c:idx val="0"/>
              <c:layout>
                <c:manualLayout>
                  <c:x val="-1.563061010375049E-2"/>
                  <c:y val="2.6346496427223261E-2"/>
                </c:manualLayout>
              </c:layout>
              <c:tx>
                <c:rich>
                  <a:bodyPr rot="0" spcFirstLastPara="1" vertOverflow="overflow" horzOverflow="overflow"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0%</a:t>
                    </a:r>
                  </a:p>
                </c:rich>
              </c:tx>
              <c:spPr>
                <a:noFill/>
                <a:ln>
                  <a:noFill/>
                </a:ln>
                <a:effectLst/>
              </c:spPr>
              <c:txPr>
                <a:bodyPr rot="0" spcFirstLastPara="1" vertOverflow="overflow" horzOverflow="overflow"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showDataLabelsRange val="0"/>
                </c:ext>
                <c:ext xmlns:c16="http://schemas.microsoft.com/office/drawing/2014/chart" uri="{C3380CC4-5D6E-409C-BE32-E72D297353CC}">
                  <c16:uniqueId val="{00000001-13A5-DE46-938D-057B5BBA587E}"/>
                </c:ext>
              </c:extLst>
            </c:dLbl>
            <c:dLbl>
              <c:idx val="1"/>
              <c:layout>
                <c:manualLayout>
                  <c:x val="-6.2814086328039052E-3"/>
                  <c:y val="-9.7494751759898812E-3"/>
                </c:manualLayout>
              </c:layout>
              <c:tx>
                <c:rich>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r>
                      <a:rPr lang="en-US"/>
                      <a:t>0%</a:t>
                    </a:r>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13A5-DE46-938D-057B5BBA587E}"/>
                </c:ext>
              </c:extLst>
            </c:dLbl>
            <c:dLbl>
              <c:idx val="2"/>
              <c:layout>
                <c:manualLayout>
                  <c:x val="3.5748243448034678E-2"/>
                  <c:y val="-3.2743058084938707E-2"/>
                </c:manualLayout>
              </c:layout>
              <c:tx>
                <c:rich>
                  <a:bodyPr/>
                  <a:lstStyle/>
                  <a:p>
                    <a:r>
                      <a:rPr lang="en-US"/>
                      <a:t>0%</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13A5-DE46-938D-057B5BBA587E}"/>
                </c:ext>
              </c:extLst>
            </c:dLbl>
            <c:dLbl>
              <c:idx val="3"/>
              <c:tx>
                <c:rich>
                  <a:bodyPr/>
                  <a:lstStyle/>
                  <a:p>
                    <a:r>
                      <a:rPr lang="en-US"/>
                      <a:t>0%</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13A5-DE46-938D-057B5BBA587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Taxonomy-aligned: Fossil gas</c:v>
                </c:pt>
                <c:pt idx="1">
                  <c:v>Taxonomy-aligned: Nuclear</c:v>
                </c:pt>
                <c:pt idx="2">
                  <c:v> Taxonomy-aligned (no fossil gas &amp; nuclear)</c:v>
                </c:pt>
                <c:pt idx="3">
                  <c:v>Non Taxonomy-aligned </c:v>
                </c:pt>
              </c:strCache>
            </c:strRef>
          </c:cat>
          <c:val>
            <c:numRef>
              <c:f>Sheet1!$B$2:$B$5</c:f>
              <c:numCache>
                <c:formatCode>General</c:formatCode>
                <c:ptCount val="4"/>
                <c:pt idx="0">
                  <c:v>0.4</c:v>
                </c:pt>
                <c:pt idx="1">
                  <c:v>0.6</c:v>
                </c:pt>
                <c:pt idx="2">
                  <c:v>0.5</c:v>
                </c:pt>
                <c:pt idx="3">
                  <c:v>1</c:v>
                </c:pt>
              </c:numCache>
            </c:numRef>
          </c:val>
          <c:extLst>
            <c:ext xmlns:c16="http://schemas.microsoft.com/office/drawing/2014/chart" uri="{C3380CC4-5D6E-409C-BE32-E72D297353CC}">
              <c16:uniqueId val="{00000008-13A5-DE46-938D-057B5BBA587E}"/>
            </c:ext>
          </c:extLst>
        </c:ser>
        <c:dLbls>
          <c:showLegendKey val="0"/>
          <c:showVal val="1"/>
          <c:showCatName val="0"/>
          <c:showSerName val="0"/>
          <c:showPercent val="0"/>
          <c:showBubbleSize val="0"/>
          <c:showLeaderLines val="0"/>
        </c:dLbls>
        <c:firstSliceAng val="0"/>
      </c:pieChart>
      <c:spPr>
        <a:noFill/>
        <a:ln>
          <a:noFill/>
        </a:ln>
        <a:effectLst/>
      </c:spPr>
    </c:plotArea>
    <c:legend>
      <c:legendPos val="l"/>
      <c:layout>
        <c:manualLayout>
          <c:xMode val="edge"/>
          <c:yMode val="edge"/>
          <c:x val="3.2301480484522208E-2"/>
          <c:y val="0.25691078985185722"/>
          <c:w val="0.493236400631617"/>
          <c:h val="0.5939962422729945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BFD579-F85F-4A96-9706-A3FED72F4EF6}"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fr-FR"/>
        </a:p>
      </dgm:t>
    </dgm:pt>
    <dgm:pt modelId="{2372D91B-415C-4B59-ADB9-E892DC51320B}">
      <dgm:prSet phldrT="[Texte]" custT="1"/>
      <dgm:spPr>
        <a:solidFill>
          <a:schemeClr val="bg2"/>
        </a:solidFill>
      </dgm:spPr>
      <dgm:t>
        <a:bodyPr/>
        <a:lstStyle/>
        <a:p>
          <a:r>
            <a:rPr lang="fr-FR" sz="1100">
              <a:solidFill>
                <a:sysClr val="windowText" lastClr="000000"/>
              </a:solidFill>
              <a:latin typeface="Source Sans Pro" panose="020B0503030403020204" pitchFamily="34" charset="0"/>
            </a:rPr>
            <a:t>Investments</a:t>
          </a:r>
        </a:p>
      </dgm:t>
    </dgm:pt>
    <dgm:pt modelId="{5E5A0C37-5F40-4920-8051-3D1E20C42CEE}" type="parTrans" cxnId="{3C29C966-F0D3-4530-8C57-F2A1058EA921}">
      <dgm:prSet/>
      <dgm:spPr/>
      <dgm:t>
        <a:bodyPr/>
        <a:lstStyle/>
        <a:p>
          <a:endParaRPr lang="fr-FR"/>
        </a:p>
      </dgm:t>
    </dgm:pt>
    <dgm:pt modelId="{0D13CB89-FF0D-427E-8C60-11D1E9F34DAD}" type="sibTrans" cxnId="{3C29C966-F0D3-4530-8C57-F2A1058EA921}">
      <dgm:prSet/>
      <dgm:spPr/>
      <dgm:t>
        <a:bodyPr/>
        <a:lstStyle/>
        <a:p>
          <a:endParaRPr lang="fr-FR"/>
        </a:p>
      </dgm:t>
    </dgm:pt>
    <dgm:pt modelId="{7494CBC4-2415-4C0E-AA1C-46143833E841}">
      <dgm:prSet phldrT="[Texte]" custT="1"/>
      <dgm:spPr>
        <a:solidFill>
          <a:schemeClr val="accent6">
            <a:lumMod val="75000"/>
          </a:schemeClr>
        </a:solidFill>
      </dgm:spPr>
      <dgm:t>
        <a:bodyPr/>
        <a:lstStyle/>
        <a:p>
          <a:r>
            <a:rPr lang="fr-FR" sz="1100">
              <a:solidFill>
                <a:sysClr val="windowText" lastClr="000000"/>
              </a:solidFill>
              <a:latin typeface="Source Sans Pro" panose="020B0503030403020204" pitchFamily="34" charset="0"/>
            </a:rPr>
            <a:t>#1 Aligned with with E/S characteristics</a:t>
          </a:r>
        </a:p>
      </dgm:t>
    </dgm:pt>
    <dgm:pt modelId="{D1CB84CC-0521-4B68-B5EB-DAA916305B3C}" type="parTrans" cxnId="{9F110D27-1A83-4EC7-B72B-41D2E49AF590}">
      <dgm:prSet custT="1">
        <dgm:style>
          <a:lnRef idx="1">
            <a:schemeClr val="accent6"/>
          </a:lnRef>
          <a:fillRef idx="0">
            <a:schemeClr val="accent6"/>
          </a:fillRef>
          <a:effectRef idx="0">
            <a:schemeClr val="accent6"/>
          </a:effectRef>
          <a:fontRef idx="minor">
            <a:schemeClr val="tx1"/>
          </a:fontRef>
        </dgm:style>
      </dgm:prSet>
      <dgm:spPr/>
      <dgm:t>
        <a:bodyPr/>
        <a:lstStyle/>
        <a:p>
          <a:endParaRPr lang="fr-FR" sz="1100">
            <a:latin typeface="Source Sans Pro" panose="020B0503030403020204" pitchFamily="34" charset="0"/>
          </a:endParaRPr>
        </a:p>
      </dgm:t>
    </dgm:pt>
    <dgm:pt modelId="{A9201855-09C8-43B8-A7A3-52A6A6CFA582}" type="sibTrans" cxnId="{9F110D27-1A83-4EC7-B72B-41D2E49AF590}">
      <dgm:prSet/>
      <dgm:spPr/>
      <dgm:t>
        <a:bodyPr/>
        <a:lstStyle/>
        <a:p>
          <a:endParaRPr lang="fr-FR"/>
        </a:p>
      </dgm:t>
    </dgm:pt>
    <dgm:pt modelId="{5EE4AD5E-E6FF-425C-8795-FF3DC6AFA167}">
      <dgm:prSet phldrT="[Texte]" custT="1"/>
      <dgm:spPr>
        <a:solidFill>
          <a:schemeClr val="accent6">
            <a:lumMod val="40000"/>
            <a:lumOff val="60000"/>
          </a:schemeClr>
        </a:solidFill>
      </dgm:spPr>
      <dgm:t>
        <a:bodyPr/>
        <a:lstStyle/>
        <a:p>
          <a:r>
            <a:rPr lang="fr-FR" sz="1100">
              <a:solidFill>
                <a:sysClr val="windowText" lastClr="000000"/>
              </a:solidFill>
              <a:latin typeface="Source Sans Pro" panose="020B0503030403020204" pitchFamily="34" charset="0"/>
            </a:rPr>
            <a:t>#1B Other E/S characteristics</a:t>
          </a:r>
        </a:p>
      </dgm:t>
    </dgm:pt>
    <dgm:pt modelId="{AD014B41-8F4D-4C57-B2F0-0CFE2033A275}" type="parTrans" cxnId="{A7EE78D3-AB52-4C26-AC42-23734CD1BE00}">
      <dgm:prSet custT="1">
        <dgm:style>
          <a:lnRef idx="1">
            <a:schemeClr val="accent6"/>
          </a:lnRef>
          <a:fillRef idx="0">
            <a:schemeClr val="accent6"/>
          </a:fillRef>
          <a:effectRef idx="0">
            <a:schemeClr val="accent6"/>
          </a:effectRef>
          <a:fontRef idx="minor">
            <a:schemeClr val="tx1"/>
          </a:fontRef>
        </dgm:style>
      </dgm:prSet>
      <dgm:spPr/>
      <dgm:t>
        <a:bodyPr/>
        <a:lstStyle/>
        <a:p>
          <a:endParaRPr lang="fr-FR" sz="1100">
            <a:latin typeface="Source Sans Pro" panose="020B0503030403020204" pitchFamily="34" charset="0"/>
          </a:endParaRPr>
        </a:p>
      </dgm:t>
    </dgm:pt>
    <dgm:pt modelId="{4C621435-1A75-47D1-9DC0-61AEE3C20890}" type="sibTrans" cxnId="{A7EE78D3-AB52-4C26-AC42-23734CD1BE00}">
      <dgm:prSet/>
      <dgm:spPr/>
      <dgm:t>
        <a:bodyPr/>
        <a:lstStyle/>
        <a:p>
          <a:endParaRPr lang="fr-FR"/>
        </a:p>
      </dgm:t>
    </dgm:pt>
    <dgm:pt modelId="{C21670D3-955A-40D9-839E-84562D1BA763}">
      <dgm:prSet phldrT="[Texte]" custT="1"/>
      <dgm:spPr>
        <a:solidFill>
          <a:schemeClr val="bg2"/>
        </a:solidFill>
      </dgm:spPr>
      <dgm:t>
        <a:bodyPr/>
        <a:lstStyle/>
        <a:p>
          <a:r>
            <a:rPr lang="fr-FR" sz="1100">
              <a:solidFill>
                <a:sysClr val="windowText" lastClr="000000"/>
              </a:solidFill>
              <a:latin typeface="Source Sans Pro" panose="020B0503030403020204" pitchFamily="34" charset="0"/>
            </a:rPr>
            <a:t>#2 Other</a:t>
          </a:r>
        </a:p>
      </dgm:t>
    </dgm:pt>
    <dgm:pt modelId="{2E997339-FB98-49EA-8CA7-865BE305FD17}" type="parTrans" cxnId="{CCED9A3F-69FB-47F6-B0BD-C2F5A699DA26}">
      <dgm:prSet custT="1">
        <dgm:style>
          <a:lnRef idx="1">
            <a:schemeClr val="accent6"/>
          </a:lnRef>
          <a:fillRef idx="0">
            <a:schemeClr val="accent6"/>
          </a:fillRef>
          <a:effectRef idx="0">
            <a:schemeClr val="accent6"/>
          </a:effectRef>
          <a:fontRef idx="minor">
            <a:schemeClr val="tx1"/>
          </a:fontRef>
        </dgm:style>
      </dgm:prSet>
      <dgm:spPr/>
      <dgm:t>
        <a:bodyPr/>
        <a:lstStyle/>
        <a:p>
          <a:endParaRPr lang="fr-FR" sz="1100">
            <a:latin typeface="Source Sans Pro" panose="020B0503030403020204" pitchFamily="34" charset="0"/>
          </a:endParaRPr>
        </a:p>
      </dgm:t>
    </dgm:pt>
    <dgm:pt modelId="{1A1F2C2C-7D84-4F72-970E-21477055AAE6}" type="sibTrans" cxnId="{CCED9A3F-69FB-47F6-B0BD-C2F5A699DA26}">
      <dgm:prSet/>
      <dgm:spPr/>
      <dgm:t>
        <a:bodyPr/>
        <a:lstStyle/>
        <a:p>
          <a:endParaRPr lang="fr-FR"/>
        </a:p>
      </dgm:t>
    </dgm:pt>
    <dgm:pt modelId="{7A29EB7A-13E2-4FC7-BFC3-1B32D9F9B712}" type="pres">
      <dgm:prSet presAssocID="{7EBFD579-F85F-4A96-9706-A3FED72F4EF6}" presName="diagram" presStyleCnt="0">
        <dgm:presLayoutVars>
          <dgm:chPref val="1"/>
          <dgm:dir/>
          <dgm:animOne val="branch"/>
          <dgm:animLvl val="lvl"/>
          <dgm:resizeHandles val="exact"/>
        </dgm:presLayoutVars>
      </dgm:prSet>
      <dgm:spPr/>
    </dgm:pt>
    <dgm:pt modelId="{F8AC989F-3B26-4603-AAEF-5FD19C89A900}" type="pres">
      <dgm:prSet presAssocID="{2372D91B-415C-4B59-ADB9-E892DC51320B}" presName="root1" presStyleCnt="0"/>
      <dgm:spPr/>
    </dgm:pt>
    <dgm:pt modelId="{17F8041A-2184-4013-B2FD-378A554108CF}" type="pres">
      <dgm:prSet presAssocID="{2372D91B-415C-4B59-ADB9-E892DC51320B}" presName="LevelOneTextNode" presStyleLbl="node0" presStyleIdx="0" presStyleCnt="1">
        <dgm:presLayoutVars>
          <dgm:chPref val="3"/>
        </dgm:presLayoutVars>
      </dgm:prSet>
      <dgm:spPr/>
    </dgm:pt>
    <dgm:pt modelId="{36F09AA9-456C-48C3-B161-2C3372E4F068}" type="pres">
      <dgm:prSet presAssocID="{2372D91B-415C-4B59-ADB9-E892DC51320B}" presName="level2hierChild" presStyleCnt="0"/>
      <dgm:spPr/>
    </dgm:pt>
    <dgm:pt modelId="{36F6CEE6-E146-4259-B99C-862B20DF417E}" type="pres">
      <dgm:prSet presAssocID="{D1CB84CC-0521-4B68-B5EB-DAA916305B3C}" presName="conn2-1" presStyleLbl="parChTrans1D2" presStyleIdx="0" presStyleCnt="2"/>
      <dgm:spPr/>
    </dgm:pt>
    <dgm:pt modelId="{1E43151E-EC6D-43A9-8BB8-5C0D1A5FDE01}" type="pres">
      <dgm:prSet presAssocID="{D1CB84CC-0521-4B68-B5EB-DAA916305B3C}" presName="connTx" presStyleLbl="parChTrans1D2" presStyleIdx="0" presStyleCnt="2"/>
      <dgm:spPr/>
    </dgm:pt>
    <dgm:pt modelId="{42032654-2E2E-41B4-AC2E-8C5DBD812C51}" type="pres">
      <dgm:prSet presAssocID="{7494CBC4-2415-4C0E-AA1C-46143833E841}" presName="root2" presStyleCnt="0"/>
      <dgm:spPr/>
    </dgm:pt>
    <dgm:pt modelId="{55B47AFC-6581-4B0C-95E9-9D07A4C969C3}" type="pres">
      <dgm:prSet presAssocID="{7494CBC4-2415-4C0E-AA1C-46143833E841}" presName="LevelTwoTextNode" presStyleLbl="node2" presStyleIdx="0" presStyleCnt="2">
        <dgm:presLayoutVars>
          <dgm:chPref val="3"/>
        </dgm:presLayoutVars>
      </dgm:prSet>
      <dgm:spPr/>
    </dgm:pt>
    <dgm:pt modelId="{0B36AF92-35CA-4BE1-89A4-ADE10466759D}" type="pres">
      <dgm:prSet presAssocID="{7494CBC4-2415-4C0E-AA1C-46143833E841}" presName="level3hierChild" presStyleCnt="0"/>
      <dgm:spPr/>
    </dgm:pt>
    <dgm:pt modelId="{0CAF6475-62FB-4E47-9A96-88AD5E8182DA}" type="pres">
      <dgm:prSet presAssocID="{AD014B41-8F4D-4C57-B2F0-0CFE2033A275}" presName="conn2-1" presStyleLbl="parChTrans1D3" presStyleIdx="0" presStyleCnt="1"/>
      <dgm:spPr/>
    </dgm:pt>
    <dgm:pt modelId="{62F6A01C-0415-4ADE-8F79-C3EDC78B3F2F}" type="pres">
      <dgm:prSet presAssocID="{AD014B41-8F4D-4C57-B2F0-0CFE2033A275}" presName="connTx" presStyleLbl="parChTrans1D3" presStyleIdx="0" presStyleCnt="1"/>
      <dgm:spPr/>
    </dgm:pt>
    <dgm:pt modelId="{8F7DB088-934A-4F5B-AD11-4A73FAEA22BA}" type="pres">
      <dgm:prSet presAssocID="{5EE4AD5E-E6FF-425C-8795-FF3DC6AFA167}" presName="root2" presStyleCnt="0"/>
      <dgm:spPr/>
    </dgm:pt>
    <dgm:pt modelId="{F9077806-6D75-43F5-BD96-73C8182122F7}" type="pres">
      <dgm:prSet presAssocID="{5EE4AD5E-E6FF-425C-8795-FF3DC6AFA167}" presName="LevelTwoTextNode" presStyleLbl="node3" presStyleIdx="0" presStyleCnt="1">
        <dgm:presLayoutVars>
          <dgm:chPref val="3"/>
        </dgm:presLayoutVars>
      </dgm:prSet>
      <dgm:spPr/>
    </dgm:pt>
    <dgm:pt modelId="{7B1FD2BA-84AB-4B4D-944C-11E5E88F61BF}" type="pres">
      <dgm:prSet presAssocID="{5EE4AD5E-E6FF-425C-8795-FF3DC6AFA167}" presName="level3hierChild" presStyleCnt="0"/>
      <dgm:spPr/>
    </dgm:pt>
    <dgm:pt modelId="{DAF2C964-77C2-40B3-B5CC-6592A15D289A}" type="pres">
      <dgm:prSet presAssocID="{2E997339-FB98-49EA-8CA7-865BE305FD17}" presName="conn2-1" presStyleLbl="parChTrans1D2" presStyleIdx="1" presStyleCnt="2"/>
      <dgm:spPr/>
    </dgm:pt>
    <dgm:pt modelId="{0EEBB9A6-2FDA-4773-87A3-9F09C77FFAD0}" type="pres">
      <dgm:prSet presAssocID="{2E997339-FB98-49EA-8CA7-865BE305FD17}" presName="connTx" presStyleLbl="parChTrans1D2" presStyleIdx="1" presStyleCnt="2"/>
      <dgm:spPr/>
    </dgm:pt>
    <dgm:pt modelId="{A7ADEBAC-2832-4ED7-8C5E-10D287CD52BB}" type="pres">
      <dgm:prSet presAssocID="{C21670D3-955A-40D9-839E-84562D1BA763}" presName="root2" presStyleCnt="0"/>
      <dgm:spPr/>
    </dgm:pt>
    <dgm:pt modelId="{50D9C727-7607-44B7-9AA2-807D7BAF543A}" type="pres">
      <dgm:prSet presAssocID="{C21670D3-955A-40D9-839E-84562D1BA763}" presName="LevelTwoTextNode" presStyleLbl="node2" presStyleIdx="1" presStyleCnt="2">
        <dgm:presLayoutVars>
          <dgm:chPref val="3"/>
        </dgm:presLayoutVars>
      </dgm:prSet>
      <dgm:spPr/>
    </dgm:pt>
    <dgm:pt modelId="{10116310-54D6-4E42-8A42-F7DBA9A0B63F}" type="pres">
      <dgm:prSet presAssocID="{C21670D3-955A-40D9-839E-84562D1BA763}" presName="level3hierChild" presStyleCnt="0"/>
      <dgm:spPr/>
    </dgm:pt>
  </dgm:ptLst>
  <dgm:cxnLst>
    <dgm:cxn modelId="{9F110D27-1A83-4EC7-B72B-41D2E49AF590}" srcId="{2372D91B-415C-4B59-ADB9-E892DC51320B}" destId="{7494CBC4-2415-4C0E-AA1C-46143833E841}" srcOrd="0" destOrd="0" parTransId="{D1CB84CC-0521-4B68-B5EB-DAA916305B3C}" sibTransId="{A9201855-09C8-43B8-A7A3-52A6A6CFA582}"/>
    <dgm:cxn modelId="{F7DAFB3A-2150-4F8D-8019-810388464353}" type="presOf" srcId="{AD014B41-8F4D-4C57-B2F0-0CFE2033A275}" destId="{0CAF6475-62FB-4E47-9A96-88AD5E8182DA}" srcOrd="0" destOrd="0" presId="urn:microsoft.com/office/officeart/2005/8/layout/hierarchy2"/>
    <dgm:cxn modelId="{CCED9A3F-69FB-47F6-B0BD-C2F5A699DA26}" srcId="{2372D91B-415C-4B59-ADB9-E892DC51320B}" destId="{C21670D3-955A-40D9-839E-84562D1BA763}" srcOrd="1" destOrd="0" parTransId="{2E997339-FB98-49EA-8CA7-865BE305FD17}" sibTransId="{1A1F2C2C-7D84-4F72-970E-21477055AAE6}"/>
    <dgm:cxn modelId="{9C636544-19B8-4FC9-BF9B-CF0E4C4EDEF2}" type="presOf" srcId="{AD014B41-8F4D-4C57-B2F0-0CFE2033A275}" destId="{62F6A01C-0415-4ADE-8F79-C3EDC78B3F2F}" srcOrd="1" destOrd="0" presId="urn:microsoft.com/office/officeart/2005/8/layout/hierarchy2"/>
    <dgm:cxn modelId="{DA04C065-3020-48F6-A071-1B7DF85BD414}" type="presOf" srcId="{D1CB84CC-0521-4B68-B5EB-DAA916305B3C}" destId="{36F6CEE6-E146-4259-B99C-862B20DF417E}" srcOrd="0" destOrd="0" presId="urn:microsoft.com/office/officeart/2005/8/layout/hierarchy2"/>
    <dgm:cxn modelId="{3C29C966-F0D3-4530-8C57-F2A1058EA921}" srcId="{7EBFD579-F85F-4A96-9706-A3FED72F4EF6}" destId="{2372D91B-415C-4B59-ADB9-E892DC51320B}" srcOrd="0" destOrd="0" parTransId="{5E5A0C37-5F40-4920-8051-3D1E20C42CEE}" sibTransId="{0D13CB89-FF0D-427E-8C60-11D1E9F34DAD}"/>
    <dgm:cxn modelId="{809A3367-A0C9-49C7-BA31-1E6C233D8135}" type="presOf" srcId="{2372D91B-415C-4B59-ADB9-E892DC51320B}" destId="{17F8041A-2184-4013-B2FD-378A554108CF}" srcOrd="0" destOrd="0" presId="urn:microsoft.com/office/officeart/2005/8/layout/hierarchy2"/>
    <dgm:cxn modelId="{659BCF78-AA28-4A6C-9D47-96E8DA88EDA6}" type="presOf" srcId="{2E997339-FB98-49EA-8CA7-865BE305FD17}" destId="{DAF2C964-77C2-40B3-B5CC-6592A15D289A}" srcOrd="0" destOrd="0" presId="urn:microsoft.com/office/officeart/2005/8/layout/hierarchy2"/>
    <dgm:cxn modelId="{1228417A-3C83-4135-92E5-C1B74ECB36E0}" type="presOf" srcId="{7EBFD579-F85F-4A96-9706-A3FED72F4EF6}" destId="{7A29EB7A-13E2-4FC7-BFC3-1B32D9F9B712}" srcOrd="0" destOrd="0" presId="urn:microsoft.com/office/officeart/2005/8/layout/hierarchy2"/>
    <dgm:cxn modelId="{27101D80-19AD-41D5-8FBC-C97110DBF2B8}" type="presOf" srcId="{7494CBC4-2415-4C0E-AA1C-46143833E841}" destId="{55B47AFC-6581-4B0C-95E9-9D07A4C969C3}" srcOrd="0" destOrd="0" presId="urn:microsoft.com/office/officeart/2005/8/layout/hierarchy2"/>
    <dgm:cxn modelId="{57782D9A-29D6-4A5D-89B6-51FF166285E6}" type="presOf" srcId="{5EE4AD5E-E6FF-425C-8795-FF3DC6AFA167}" destId="{F9077806-6D75-43F5-BD96-73C8182122F7}" srcOrd="0" destOrd="0" presId="urn:microsoft.com/office/officeart/2005/8/layout/hierarchy2"/>
    <dgm:cxn modelId="{7CCBBCA3-3F88-486C-B268-302A3DD4EF38}" type="presOf" srcId="{2E997339-FB98-49EA-8CA7-865BE305FD17}" destId="{0EEBB9A6-2FDA-4773-87A3-9F09C77FFAD0}" srcOrd="1" destOrd="0" presId="urn:microsoft.com/office/officeart/2005/8/layout/hierarchy2"/>
    <dgm:cxn modelId="{5BD8ABA5-A6FB-42B0-9E8A-67237CB2BDF2}" type="presOf" srcId="{C21670D3-955A-40D9-839E-84562D1BA763}" destId="{50D9C727-7607-44B7-9AA2-807D7BAF543A}" srcOrd="0" destOrd="0" presId="urn:microsoft.com/office/officeart/2005/8/layout/hierarchy2"/>
    <dgm:cxn modelId="{A7EE78D3-AB52-4C26-AC42-23734CD1BE00}" srcId="{7494CBC4-2415-4C0E-AA1C-46143833E841}" destId="{5EE4AD5E-E6FF-425C-8795-FF3DC6AFA167}" srcOrd="0" destOrd="0" parTransId="{AD014B41-8F4D-4C57-B2F0-0CFE2033A275}" sibTransId="{4C621435-1A75-47D1-9DC0-61AEE3C20890}"/>
    <dgm:cxn modelId="{BC67CBEF-D4B1-455E-8CD7-99AFA0783058}" type="presOf" srcId="{D1CB84CC-0521-4B68-B5EB-DAA916305B3C}" destId="{1E43151E-EC6D-43A9-8BB8-5C0D1A5FDE01}" srcOrd="1" destOrd="0" presId="urn:microsoft.com/office/officeart/2005/8/layout/hierarchy2"/>
    <dgm:cxn modelId="{6EF383E9-F234-448B-B6EF-2140EE2CFBB4}" type="presParOf" srcId="{7A29EB7A-13E2-4FC7-BFC3-1B32D9F9B712}" destId="{F8AC989F-3B26-4603-AAEF-5FD19C89A900}" srcOrd="0" destOrd="0" presId="urn:microsoft.com/office/officeart/2005/8/layout/hierarchy2"/>
    <dgm:cxn modelId="{945BC4A8-13F7-43EC-91B9-EF95AE9E1CD4}" type="presParOf" srcId="{F8AC989F-3B26-4603-AAEF-5FD19C89A900}" destId="{17F8041A-2184-4013-B2FD-378A554108CF}" srcOrd="0" destOrd="0" presId="urn:microsoft.com/office/officeart/2005/8/layout/hierarchy2"/>
    <dgm:cxn modelId="{70F18D37-5E46-4C1E-961F-B1546FD53EC7}" type="presParOf" srcId="{F8AC989F-3B26-4603-AAEF-5FD19C89A900}" destId="{36F09AA9-456C-48C3-B161-2C3372E4F068}" srcOrd="1" destOrd="0" presId="urn:microsoft.com/office/officeart/2005/8/layout/hierarchy2"/>
    <dgm:cxn modelId="{7AC97389-D3F4-44DB-9FC3-F3E567C88218}" type="presParOf" srcId="{36F09AA9-456C-48C3-B161-2C3372E4F068}" destId="{36F6CEE6-E146-4259-B99C-862B20DF417E}" srcOrd="0" destOrd="0" presId="urn:microsoft.com/office/officeart/2005/8/layout/hierarchy2"/>
    <dgm:cxn modelId="{CD932A9A-8C43-451F-BB21-CA7C6DE5205F}" type="presParOf" srcId="{36F6CEE6-E146-4259-B99C-862B20DF417E}" destId="{1E43151E-EC6D-43A9-8BB8-5C0D1A5FDE01}" srcOrd="0" destOrd="0" presId="urn:microsoft.com/office/officeart/2005/8/layout/hierarchy2"/>
    <dgm:cxn modelId="{4D180B89-73EF-4F9F-BA6E-EA17D2C6CF01}" type="presParOf" srcId="{36F09AA9-456C-48C3-B161-2C3372E4F068}" destId="{42032654-2E2E-41B4-AC2E-8C5DBD812C51}" srcOrd="1" destOrd="0" presId="urn:microsoft.com/office/officeart/2005/8/layout/hierarchy2"/>
    <dgm:cxn modelId="{AD3D00C9-6F7A-45BE-9FB5-B51BEE3AD4FC}" type="presParOf" srcId="{42032654-2E2E-41B4-AC2E-8C5DBD812C51}" destId="{55B47AFC-6581-4B0C-95E9-9D07A4C969C3}" srcOrd="0" destOrd="0" presId="urn:microsoft.com/office/officeart/2005/8/layout/hierarchy2"/>
    <dgm:cxn modelId="{2484D8DD-6B04-47B3-ABAE-7F677927EDED}" type="presParOf" srcId="{42032654-2E2E-41B4-AC2E-8C5DBD812C51}" destId="{0B36AF92-35CA-4BE1-89A4-ADE10466759D}" srcOrd="1" destOrd="0" presId="urn:microsoft.com/office/officeart/2005/8/layout/hierarchy2"/>
    <dgm:cxn modelId="{5F712142-D368-4875-8225-06A49A6CEE05}" type="presParOf" srcId="{0B36AF92-35CA-4BE1-89A4-ADE10466759D}" destId="{0CAF6475-62FB-4E47-9A96-88AD5E8182DA}" srcOrd="0" destOrd="0" presId="urn:microsoft.com/office/officeart/2005/8/layout/hierarchy2"/>
    <dgm:cxn modelId="{56B436F5-683A-4DDD-8B61-2B885DEE794B}" type="presParOf" srcId="{0CAF6475-62FB-4E47-9A96-88AD5E8182DA}" destId="{62F6A01C-0415-4ADE-8F79-C3EDC78B3F2F}" srcOrd="0" destOrd="0" presId="urn:microsoft.com/office/officeart/2005/8/layout/hierarchy2"/>
    <dgm:cxn modelId="{6B771E22-3778-4387-BAC9-1BFB2BC7A107}" type="presParOf" srcId="{0B36AF92-35CA-4BE1-89A4-ADE10466759D}" destId="{8F7DB088-934A-4F5B-AD11-4A73FAEA22BA}" srcOrd="1" destOrd="0" presId="urn:microsoft.com/office/officeart/2005/8/layout/hierarchy2"/>
    <dgm:cxn modelId="{078DBF49-8129-42F4-96A8-93191350DE4D}" type="presParOf" srcId="{8F7DB088-934A-4F5B-AD11-4A73FAEA22BA}" destId="{F9077806-6D75-43F5-BD96-73C8182122F7}" srcOrd="0" destOrd="0" presId="urn:microsoft.com/office/officeart/2005/8/layout/hierarchy2"/>
    <dgm:cxn modelId="{A75C0DBB-6B25-4C00-82CC-18D3C296724B}" type="presParOf" srcId="{8F7DB088-934A-4F5B-AD11-4A73FAEA22BA}" destId="{7B1FD2BA-84AB-4B4D-944C-11E5E88F61BF}" srcOrd="1" destOrd="0" presId="urn:microsoft.com/office/officeart/2005/8/layout/hierarchy2"/>
    <dgm:cxn modelId="{DCA90E39-BBF8-419A-8AE9-EEFE567836E1}" type="presParOf" srcId="{36F09AA9-456C-48C3-B161-2C3372E4F068}" destId="{DAF2C964-77C2-40B3-B5CC-6592A15D289A}" srcOrd="2" destOrd="0" presId="urn:microsoft.com/office/officeart/2005/8/layout/hierarchy2"/>
    <dgm:cxn modelId="{B5022914-1A2D-43F5-86EF-4F7A34990F72}" type="presParOf" srcId="{DAF2C964-77C2-40B3-B5CC-6592A15D289A}" destId="{0EEBB9A6-2FDA-4773-87A3-9F09C77FFAD0}" srcOrd="0" destOrd="0" presId="urn:microsoft.com/office/officeart/2005/8/layout/hierarchy2"/>
    <dgm:cxn modelId="{D85F991A-5C9D-4744-9A4F-8293258C4688}" type="presParOf" srcId="{36F09AA9-456C-48C3-B161-2C3372E4F068}" destId="{A7ADEBAC-2832-4ED7-8C5E-10D287CD52BB}" srcOrd="3" destOrd="0" presId="urn:microsoft.com/office/officeart/2005/8/layout/hierarchy2"/>
    <dgm:cxn modelId="{820C7148-BB68-417C-AB73-8FEA66995A08}" type="presParOf" srcId="{A7ADEBAC-2832-4ED7-8C5E-10D287CD52BB}" destId="{50D9C727-7607-44B7-9AA2-807D7BAF543A}" srcOrd="0" destOrd="0" presId="urn:microsoft.com/office/officeart/2005/8/layout/hierarchy2"/>
    <dgm:cxn modelId="{E011155D-444D-4BA4-9A2D-E73AD026B270}" type="presParOf" srcId="{A7ADEBAC-2832-4ED7-8C5E-10D287CD52BB}" destId="{10116310-54D6-4E42-8A42-F7DBA9A0B63F}"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F8041A-2184-4013-B2FD-378A554108CF}">
      <dsp:nvSpPr>
        <dsp:cNvPr id="0" name=""/>
        <dsp:cNvSpPr/>
      </dsp:nvSpPr>
      <dsp:spPr>
        <a:xfrm>
          <a:off x="2237" y="624683"/>
          <a:ext cx="1372225" cy="686112"/>
        </a:xfrm>
        <a:prstGeom prst="roundRect">
          <a:avLst>
            <a:gd name="adj" fmla="val 10000"/>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r-FR" sz="1100" kern="1200">
              <a:solidFill>
                <a:sysClr val="windowText" lastClr="000000"/>
              </a:solidFill>
              <a:latin typeface="Source Sans Pro" panose="020B0503030403020204" pitchFamily="34" charset="0"/>
            </a:rPr>
            <a:t>Investments</a:t>
          </a:r>
        </a:p>
      </dsp:txBody>
      <dsp:txXfrm>
        <a:off x="22333" y="644779"/>
        <a:ext cx="1332033" cy="645920"/>
      </dsp:txXfrm>
    </dsp:sp>
    <dsp:sp modelId="{36F6CEE6-E146-4259-B99C-862B20DF417E}">
      <dsp:nvSpPr>
        <dsp:cNvPr id="0" name=""/>
        <dsp:cNvSpPr/>
      </dsp:nvSpPr>
      <dsp:spPr>
        <a:xfrm rot="19457599">
          <a:off x="1310927" y="738578"/>
          <a:ext cx="675960" cy="63808"/>
        </a:xfrm>
        <a:custGeom>
          <a:avLst/>
          <a:gdLst/>
          <a:ahLst/>
          <a:cxnLst/>
          <a:rect l="0" t="0" r="0" b="0"/>
          <a:pathLst>
            <a:path>
              <a:moveTo>
                <a:pt x="0" y="31904"/>
              </a:moveTo>
              <a:lnTo>
                <a:pt x="675960" y="31904"/>
              </a:lnTo>
            </a:path>
          </a:pathLst>
        </a:custGeom>
        <a:noFill/>
        <a:ln w="6350" cap="flat" cmpd="sng" algn="ctr">
          <a:solidFill>
            <a:schemeClr val="accent6"/>
          </a:solidFill>
          <a:prstDash val="solid"/>
          <a:miter lim="800000"/>
        </a:ln>
        <a:effectLst/>
      </dsp:spPr>
      <dsp:style>
        <a:lnRef idx="1">
          <a:schemeClr val="accent6"/>
        </a:lnRef>
        <a:fillRef idx="0">
          <a:schemeClr val="accent6"/>
        </a:fillRef>
        <a:effectRef idx="0">
          <a:schemeClr val="accent6"/>
        </a:effectRef>
        <a:fontRef idx="minor">
          <a:schemeClr val="tx1"/>
        </a:fontRef>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fr-FR" sz="1100" kern="1200">
            <a:latin typeface="Source Sans Pro" panose="020B0503030403020204" pitchFamily="34" charset="0"/>
          </a:endParaRPr>
        </a:p>
      </dsp:txBody>
      <dsp:txXfrm>
        <a:off x="1632008" y="753583"/>
        <a:ext cx="33798" cy="33798"/>
      </dsp:txXfrm>
    </dsp:sp>
    <dsp:sp modelId="{55B47AFC-6581-4B0C-95E9-9D07A4C969C3}">
      <dsp:nvSpPr>
        <dsp:cNvPr id="0" name=""/>
        <dsp:cNvSpPr/>
      </dsp:nvSpPr>
      <dsp:spPr>
        <a:xfrm>
          <a:off x="1923352" y="230169"/>
          <a:ext cx="1372225" cy="686112"/>
        </a:xfrm>
        <a:prstGeom prst="roundRect">
          <a:avLst>
            <a:gd name="adj" fmla="val 10000"/>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r-FR" sz="1100" kern="1200">
              <a:solidFill>
                <a:sysClr val="windowText" lastClr="000000"/>
              </a:solidFill>
              <a:latin typeface="Source Sans Pro" panose="020B0503030403020204" pitchFamily="34" charset="0"/>
            </a:rPr>
            <a:t>#1 Aligned with with E/S characteristics</a:t>
          </a:r>
        </a:p>
      </dsp:txBody>
      <dsp:txXfrm>
        <a:off x="1943448" y="250265"/>
        <a:ext cx="1332033" cy="645920"/>
      </dsp:txXfrm>
    </dsp:sp>
    <dsp:sp modelId="{0CAF6475-62FB-4E47-9A96-88AD5E8182DA}">
      <dsp:nvSpPr>
        <dsp:cNvPr id="0" name=""/>
        <dsp:cNvSpPr/>
      </dsp:nvSpPr>
      <dsp:spPr>
        <a:xfrm>
          <a:off x="3295578" y="541320"/>
          <a:ext cx="548890" cy="63808"/>
        </a:xfrm>
        <a:custGeom>
          <a:avLst/>
          <a:gdLst/>
          <a:ahLst/>
          <a:cxnLst/>
          <a:rect l="0" t="0" r="0" b="0"/>
          <a:pathLst>
            <a:path>
              <a:moveTo>
                <a:pt x="0" y="31904"/>
              </a:moveTo>
              <a:lnTo>
                <a:pt x="548890" y="31904"/>
              </a:lnTo>
            </a:path>
          </a:pathLst>
        </a:custGeom>
        <a:noFill/>
        <a:ln w="6350" cap="flat" cmpd="sng" algn="ctr">
          <a:solidFill>
            <a:schemeClr val="accent6"/>
          </a:solidFill>
          <a:prstDash val="solid"/>
          <a:miter lim="800000"/>
        </a:ln>
        <a:effectLst/>
      </dsp:spPr>
      <dsp:style>
        <a:lnRef idx="1">
          <a:schemeClr val="accent6"/>
        </a:lnRef>
        <a:fillRef idx="0">
          <a:schemeClr val="accent6"/>
        </a:fillRef>
        <a:effectRef idx="0">
          <a:schemeClr val="accent6"/>
        </a:effectRef>
        <a:fontRef idx="minor">
          <a:schemeClr val="tx1"/>
        </a:fontRef>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fr-FR" sz="1100" kern="1200">
            <a:latin typeface="Source Sans Pro" panose="020B0503030403020204" pitchFamily="34" charset="0"/>
          </a:endParaRPr>
        </a:p>
      </dsp:txBody>
      <dsp:txXfrm>
        <a:off x="3556300" y="559503"/>
        <a:ext cx="27444" cy="27444"/>
      </dsp:txXfrm>
    </dsp:sp>
    <dsp:sp modelId="{F9077806-6D75-43F5-BD96-73C8182122F7}">
      <dsp:nvSpPr>
        <dsp:cNvPr id="0" name=""/>
        <dsp:cNvSpPr/>
      </dsp:nvSpPr>
      <dsp:spPr>
        <a:xfrm>
          <a:off x="3844468" y="230169"/>
          <a:ext cx="1372225" cy="686112"/>
        </a:xfrm>
        <a:prstGeom prst="roundRect">
          <a:avLst>
            <a:gd name="adj" fmla="val 10000"/>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r-FR" sz="1100" kern="1200">
              <a:solidFill>
                <a:sysClr val="windowText" lastClr="000000"/>
              </a:solidFill>
              <a:latin typeface="Source Sans Pro" panose="020B0503030403020204" pitchFamily="34" charset="0"/>
            </a:rPr>
            <a:t>#1B Other E/S characteristics</a:t>
          </a:r>
        </a:p>
      </dsp:txBody>
      <dsp:txXfrm>
        <a:off x="3864564" y="250265"/>
        <a:ext cx="1332033" cy="645920"/>
      </dsp:txXfrm>
    </dsp:sp>
    <dsp:sp modelId="{DAF2C964-77C2-40B3-B5CC-6592A15D289A}">
      <dsp:nvSpPr>
        <dsp:cNvPr id="0" name=""/>
        <dsp:cNvSpPr/>
      </dsp:nvSpPr>
      <dsp:spPr>
        <a:xfrm rot="2142401">
          <a:off x="1310927" y="1133093"/>
          <a:ext cx="675960" cy="63808"/>
        </a:xfrm>
        <a:custGeom>
          <a:avLst/>
          <a:gdLst/>
          <a:ahLst/>
          <a:cxnLst/>
          <a:rect l="0" t="0" r="0" b="0"/>
          <a:pathLst>
            <a:path>
              <a:moveTo>
                <a:pt x="0" y="31904"/>
              </a:moveTo>
              <a:lnTo>
                <a:pt x="675960" y="31904"/>
              </a:lnTo>
            </a:path>
          </a:pathLst>
        </a:custGeom>
        <a:noFill/>
        <a:ln w="6350" cap="flat" cmpd="sng" algn="ctr">
          <a:solidFill>
            <a:schemeClr val="accent6"/>
          </a:solidFill>
          <a:prstDash val="solid"/>
          <a:miter lim="800000"/>
        </a:ln>
        <a:effectLst/>
      </dsp:spPr>
      <dsp:style>
        <a:lnRef idx="1">
          <a:schemeClr val="accent6"/>
        </a:lnRef>
        <a:fillRef idx="0">
          <a:schemeClr val="accent6"/>
        </a:fillRef>
        <a:effectRef idx="0">
          <a:schemeClr val="accent6"/>
        </a:effectRef>
        <a:fontRef idx="minor">
          <a:schemeClr val="tx1"/>
        </a:fontRef>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fr-FR" sz="1100" kern="1200">
            <a:latin typeface="Source Sans Pro" panose="020B0503030403020204" pitchFamily="34" charset="0"/>
          </a:endParaRPr>
        </a:p>
      </dsp:txBody>
      <dsp:txXfrm>
        <a:off x="1632008" y="1148098"/>
        <a:ext cx="33798" cy="33798"/>
      </dsp:txXfrm>
    </dsp:sp>
    <dsp:sp modelId="{50D9C727-7607-44B7-9AA2-807D7BAF543A}">
      <dsp:nvSpPr>
        <dsp:cNvPr id="0" name=""/>
        <dsp:cNvSpPr/>
      </dsp:nvSpPr>
      <dsp:spPr>
        <a:xfrm>
          <a:off x="1923352" y="1019198"/>
          <a:ext cx="1372225" cy="686112"/>
        </a:xfrm>
        <a:prstGeom prst="roundRect">
          <a:avLst>
            <a:gd name="adj" fmla="val 10000"/>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r-FR" sz="1100" kern="1200">
              <a:solidFill>
                <a:sysClr val="windowText" lastClr="000000"/>
              </a:solidFill>
              <a:latin typeface="Source Sans Pro" panose="020B0503030403020204" pitchFamily="34" charset="0"/>
            </a:rPr>
            <a:t>#2 Other</a:t>
          </a:r>
        </a:p>
      </dsp:txBody>
      <dsp:txXfrm>
        <a:off x="1943448" y="1039294"/>
        <a:ext cx="1332033" cy="64592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0.92954</cdr:x>
      <cdr:y>0.26141</cdr:y>
    </cdr:from>
    <cdr:to>
      <cdr:x>1</cdr:x>
      <cdr:y>0.34223</cdr:y>
    </cdr:to>
    <cdr:sp macro="" textlink="">
      <cdr:nvSpPr>
        <cdr:cNvPr id="4" name="TextBox 4"/>
        <cdr:cNvSpPr txBox="1"/>
      </cdr:nvSpPr>
      <cdr:spPr>
        <a:xfrm xmlns:a="http://schemas.openxmlformats.org/drawingml/2006/main">
          <a:off x="2120206" y="455657"/>
          <a:ext cx="160714" cy="140876"/>
        </a:xfrm>
        <a:prstGeom xmlns:a="http://schemas.openxmlformats.org/drawingml/2006/main" prst="rect">
          <a:avLst/>
        </a:prstGeom>
        <a:noFill xmlns:a="http://schemas.openxmlformats.org/drawingml/2006/main"/>
      </cdr:spPr>
      <cdr:txBody>
        <a:bodyPr xmlns:a="http://schemas.openxmlformats.org/drawingml/2006/main" wrap="square" lIns="0" tIns="0" rIns="0" bIns="0" rtlCol="0">
          <a:spAutoFit/>
        </a:bodyPr>
        <a:lstStyle xmlns:a="http://schemas.openxmlformats.org/drawingml/2006/main"/>
        <a:p xmlns:a="http://schemas.openxmlformats.org/drawingml/2006/main">
          <a:pPr fontAlgn="base">
            <a:spcAft>
              <a:spcPts val="0"/>
            </a:spcAft>
          </a:pPr>
          <a:r>
            <a:rPr lang="nl-NL" sz="900" b="1" kern="1200">
              <a:solidFill>
                <a:srgbClr val="003300"/>
              </a:solidFill>
              <a:effectLst/>
              <a:latin typeface="+mn-lt"/>
              <a:ea typeface="Times New Roman" panose="02020603050405020304" pitchFamily="18" charset="0"/>
              <a:cs typeface="Arial" panose="020B0604020202020204" pitchFamily="34" charset="0"/>
            </a:rPr>
            <a:t>0%</a:t>
          </a:r>
          <a:endParaRPr lang="en-GB" sz="1600">
            <a:effectLst/>
            <a:latin typeface="+mn-lt"/>
            <a:ea typeface="Times New Roman" panose="02020603050405020304" pitchFamily="18" charset="0"/>
          </a:endParaRPr>
        </a:p>
      </cdr:txBody>
    </cdr:sp>
  </cdr:relSizeAnchor>
  <cdr:relSizeAnchor xmlns:cdr="http://schemas.openxmlformats.org/drawingml/2006/chartDrawing">
    <cdr:from>
      <cdr:x>0.57711</cdr:x>
      <cdr:y>0.2481</cdr:y>
    </cdr:from>
    <cdr:to>
      <cdr:x>0.96548</cdr:x>
      <cdr:y>0.77533</cdr:y>
    </cdr:to>
    <cdr:sp macro="" textlink="">
      <cdr:nvSpPr>
        <cdr:cNvPr id="5" name="Arc 4"/>
        <cdr:cNvSpPr/>
      </cdr:nvSpPr>
      <cdr:spPr>
        <a:xfrm xmlns:a="http://schemas.openxmlformats.org/drawingml/2006/main" rot="471019">
          <a:off x="1316342" y="432457"/>
          <a:ext cx="885841" cy="919001"/>
        </a:xfrm>
        <a:prstGeom xmlns:a="http://schemas.openxmlformats.org/drawingml/2006/main" prst="arc">
          <a:avLst>
            <a:gd name="adj1" fmla="val 15026549"/>
            <a:gd name="adj2" fmla="val 1922135"/>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wrap="square" rtlCol="0" anchor="ctr">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userShapes>
</file>

<file path=word/drawings/drawing2.xml><?xml version="1.0" encoding="utf-8"?>
<c:userShapes xmlns:c="http://schemas.openxmlformats.org/drawingml/2006/chart">
  <cdr:relSizeAnchor xmlns:cdr="http://schemas.openxmlformats.org/drawingml/2006/chartDrawing">
    <cdr:from>
      <cdr:x>0.48708</cdr:x>
      <cdr:y>0.22474</cdr:y>
    </cdr:from>
    <cdr:to>
      <cdr:x>0.95103</cdr:x>
      <cdr:y>0.80396</cdr:y>
    </cdr:to>
    <cdr:sp macro="" textlink="">
      <cdr:nvSpPr>
        <cdr:cNvPr id="2" name="Arc 1"/>
        <cdr:cNvSpPr/>
      </cdr:nvSpPr>
      <cdr:spPr>
        <a:xfrm xmlns:a="http://schemas.openxmlformats.org/drawingml/2006/main" rot="1069177">
          <a:off x="1149034" y="391731"/>
          <a:ext cx="1094470" cy="1009624"/>
        </a:xfrm>
        <a:prstGeom xmlns:a="http://schemas.openxmlformats.org/drawingml/2006/main" prst="arc">
          <a:avLst>
            <a:gd name="adj1" fmla="val 15849707"/>
            <a:gd name="adj2" fmla="val 6405616"/>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wrap="square" rtlCol="0" anchor="ctr">
          <a:noAutofit/>
        </a:bodyPr>
        <a:lstStyle xmlns:a="http://schemas.openxmlformats.org/drawingml/2006/main"/>
        <a:p xmlns:a="http://schemas.openxmlformats.org/drawingml/2006/main">
          <a:endParaRPr lang="en-GB"/>
        </a:p>
      </cdr:txBody>
    </cdr:sp>
  </cdr:relSizeAnchor>
  <cdr:relSizeAnchor xmlns:cdr="http://schemas.openxmlformats.org/drawingml/2006/chartDrawing">
    <cdr:from>
      <cdr:x>0.93284</cdr:x>
      <cdr:y>0.29798</cdr:y>
    </cdr:from>
    <cdr:to>
      <cdr:x>0.99787</cdr:x>
      <cdr:y>0.3788</cdr:y>
    </cdr:to>
    <cdr:sp macro="" textlink="">
      <cdr:nvSpPr>
        <cdr:cNvPr id="3" name="TextBox 4"/>
        <cdr:cNvSpPr txBox="1"/>
      </cdr:nvSpPr>
      <cdr:spPr>
        <a:xfrm xmlns:a="http://schemas.openxmlformats.org/drawingml/2006/main">
          <a:off x="2200593" y="519401"/>
          <a:ext cx="153407" cy="140872"/>
        </a:xfrm>
        <a:prstGeom xmlns:a="http://schemas.openxmlformats.org/drawingml/2006/main" prst="rect">
          <a:avLst/>
        </a:prstGeom>
        <a:noFill xmlns:a="http://schemas.openxmlformats.org/drawingml/2006/main"/>
      </cdr:spPr>
      <cdr:txBody>
        <a:bodyPr xmlns:a="http://schemas.openxmlformats.org/drawingml/2006/main" wrap="square" lIns="0" tIns="0" rIns="0" bIns="0" rtlCol="0">
          <a:spAutoFit/>
        </a:bodyPr>
        <a:lstStyle xmlns:a="http://schemas.openxmlformats.org/drawingml/2006/main"/>
        <a:p xmlns:a="http://schemas.openxmlformats.org/drawingml/2006/main">
          <a:pPr fontAlgn="base">
            <a:spcAft>
              <a:spcPts val="0"/>
            </a:spcAft>
          </a:pPr>
          <a:r>
            <a:rPr lang="nl-NL" sz="900" b="1" kern="1200">
              <a:solidFill>
                <a:srgbClr val="003300"/>
              </a:solidFill>
              <a:effectLst/>
              <a:latin typeface="+mn-lt"/>
              <a:ea typeface="Times New Roman" panose="02020603050405020304" pitchFamily="18" charset="0"/>
              <a:cs typeface="Arial" panose="020B0604020202020204" pitchFamily="34" charset="0"/>
            </a:rPr>
            <a:t>0%</a:t>
          </a:r>
          <a:endParaRPr lang="en-GB" sz="1600">
            <a:effectLst/>
            <a:latin typeface="+mn-lt"/>
            <a:ea typeface="Times New Roman" panose="02020603050405020304" pitchFamily="18" charset="0"/>
          </a:endParaRPr>
        </a:p>
      </cdr:txBody>
    </cdr:sp>
  </cdr:relSizeAnchor>
  <cdr:relSizeAnchor xmlns:cdr="http://schemas.openxmlformats.org/drawingml/2006/chartDrawing">
    <cdr:from>
      <cdr:x>0</cdr:x>
      <cdr:y>0.89836</cdr:y>
    </cdr:from>
    <cdr:to>
      <cdr:x>1</cdr:x>
      <cdr:y>1</cdr:y>
    </cdr:to>
    <cdr:sp macro="" textlink="">
      <cdr:nvSpPr>
        <cdr:cNvPr id="4" name="Text Box 2"/>
        <cdr:cNvSpPr txBox="1"/>
      </cdr:nvSpPr>
      <cdr:spPr>
        <a:xfrm xmlns:a="http://schemas.openxmlformats.org/drawingml/2006/main">
          <a:off x="0" y="1565910"/>
          <a:ext cx="2359025" cy="17716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algn="ctr">
            <a:spcAft>
              <a:spcPts val="1200"/>
            </a:spcAft>
          </a:pPr>
          <a:r>
            <a:rPr lang="en-GB" sz="800">
              <a:solidFill>
                <a:srgbClr val="4F4F4F"/>
              </a:solidFill>
              <a:effectLst/>
              <a:latin typeface="Calibri" panose="020F0502020204030204" pitchFamily="34" charset="0"/>
              <a:ea typeface="Times New Roman" panose="02020603050405020304" pitchFamily="18" charset="0"/>
              <a:cs typeface="Times New Roman" panose="02020603050405020304" pitchFamily="18" charset="0"/>
            </a:rPr>
            <a:t>This graph represents x% of the total investments.</a:t>
          </a:r>
          <a:endParaRPr lang="en-GB" sz="1100">
            <a:effectLst/>
            <a:latin typeface="Arial" panose="020B0604020202020204" pitchFamily="34" charset="0"/>
            <a:ea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3449</Words>
  <Characters>18970</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Besse</dc:creator>
  <cp:keywords/>
  <dc:description/>
  <cp:lastModifiedBy>Pierre Besse</cp:lastModifiedBy>
  <cp:revision>2</cp:revision>
  <cp:lastPrinted>2023-09-12T13:36:00Z</cp:lastPrinted>
  <dcterms:created xsi:type="dcterms:W3CDTF">2024-10-16T10:37:00Z</dcterms:created>
  <dcterms:modified xsi:type="dcterms:W3CDTF">2024-10-16T10:37:00Z</dcterms:modified>
</cp:coreProperties>
</file>